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footer31.xml" ContentType="application/vnd.openxmlformats-officedocument.wordprocessingml.footer+xml"/>
  <Override PartName="/word/header32.xml" ContentType="application/vnd.openxmlformats-officedocument.wordprocessingml.head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footer3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sz w:val="28"/>
        </w:rPr>
      </w:pPr>
      <w:r>
        <w:rPr>
          <w:sz w:val="28"/>
        </w:rPr>
        <w:drawing>
          <wp:anchor distT="0" distB="0" distL="0" distR="0" allowOverlap="1" layoutInCell="1" locked="0" behindDoc="0" simplePos="0" relativeHeight="15729152">
            <wp:simplePos x="0" y="0"/>
            <wp:positionH relativeFrom="page">
              <wp:posOffset>0</wp:posOffset>
            </wp:positionH>
            <wp:positionV relativeFrom="page">
              <wp:posOffset>0</wp:posOffset>
            </wp:positionV>
            <wp:extent cx="7559040" cy="858265"/>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7559040" cy="858265"/>
                    </a:xfrm>
                    <a:prstGeom prst="rect">
                      <a:avLst/>
                    </a:prstGeom>
                  </pic:spPr>
                </pic:pic>
              </a:graphicData>
            </a:graphic>
          </wp:anchor>
        </w:drawing>
      </w:r>
      <w:r>
        <w:rPr>
          <w:sz w:val="28"/>
        </w:rPr>
        <w:drawing>
          <wp:anchor distT="0" distB="0" distL="0" distR="0" allowOverlap="1" layoutInCell="1" locked="0" behindDoc="0" simplePos="0" relativeHeight="15729664">
            <wp:simplePos x="0" y="0"/>
            <wp:positionH relativeFrom="page">
              <wp:posOffset>0</wp:posOffset>
            </wp:positionH>
            <wp:positionV relativeFrom="page">
              <wp:posOffset>10125202</wp:posOffset>
            </wp:positionV>
            <wp:extent cx="7559040" cy="566928"/>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7559040" cy="566928"/>
                    </a:xfrm>
                    <a:prstGeom prst="rect">
                      <a:avLst/>
                    </a:prstGeom>
                  </pic:spPr>
                </pic:pic>
              </a:graphicData>
            </a:graphic>
          </wp:anchor>
        </w:drawing>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88"/>
        <w:rPr>
          <w:sz w:val="28"/>
        </w:rPr>
      </w:pPr>
    </w:p>
    <w:p>
      <w:pPr>
        <w:spacing w:line="360" w:lineRule="auto" w:before="0"/>
        <w:ind w:left="1970" w:right="1963" w:hanging="7"/>
        <w:jc w:val="center"/>
        <w:rPr>
          <w:rFonts w:ascii="Arial Black" w:hAnsi="Arial Black"/>
          <w:sz w:val="28"/>
        </w:rPr>
      </w:pPr>
      <w:r>
        <w:rPr>
          <w:rFonts w:ascii="Arial Black" w:hAnsi="Arial Black"/>
          <w:sz w:val="28"/>
        </w:rPr>
        <w:t>UNIVERSIDAD ANDINA</w:t>
      </w:r>
      <w:r>
        <w:rPr>
          <w:rFonts w:ascii="Arial Black" w:hAnsi="Arial Black"/>
          <w:spacing w:val="40"/>
          <w:sz w:val="28"/>
        </w:rPr>
        <w:t> </w:t>
      </w:r>
      <w:r>
        <w:rPr>
          <w:rFonts w:ascii="Arial Black" w:hAnsi="Arial Black"/>
          <w:sz w:val="28"/>
        </w:rPr>
        <w:t>NÉSTOR</w:t>
      </w:r>
      <w:r>
        <w:rPr>
          <w:rFonts w:ascii="Arial Black" w:hAnsi="Arial Black"/>
          <w:spacing w:val="-17"/>
          <w:sz w:val="28"/>
        </w:rPr>
        <w:t> </w:t>
      </w:r>
      <w:r>
        <w:rPr>
          <w:rFonts w:ascii="Arial Black" w:hAnsi="Arial Black"/>
          <w:sz w:val="28"/>
        </w:rPr>
        <w:t>CÁCERES</w:t>
      </w:r>
      <w:r>
        <w:rPr>
          <w:rFonts w:ascii="Arial Black" w:hAnsi="Arial Black"/>
          <w:spacing w:val="-18"/>
          <w:sz w:val="28"/>
        </w:rPr>
        <w:t> </w:t>
      </w:r>
      <w:r>
        <w:rPr>
          <w:rFonts w:ascii="Arial Black" w:hAnsi="Arial Black"/>
          <w:sz w:val="28"/>
        </w:rPr>
        <w:t>VELÁSQUEZ</w:t>
      </w:r>
    </w:p>
    <w:p>
      <w:pPr>
        <w:spacing w:line="394" w:lineRule="exact" w:before="0"/>
        <w:ind w:left="139" w:right="138" w:firstLine="0"/>
        <w:jc w:val="center"/>
        <w:rPr>
          <w:rFonts w:ascii="Arial Black"/>
          <w:sz w:val="28"/>
        </w:rPr>
      </w:pPr>
      <w:r>
        <w:rPr>
          <w:rFonts w:ascii="Arial Black"/>
          <w:sz w:val="28"/>
        </w:rPr>
        <w:t>FACULTAD</w:t>
      </w:r>
      <w:r>
        <w:rPr>
          <w:rFonts w:ascii="Arial Black"/>
          <w:spacing w:val="-5"/>
          <w:sz w:val="28"/>
        </w:rPr>
        <w:t> </w:t>
      </w:r>
      <w:r>
        <w:rPr>
          <w:rFonts w:ascii="Arial Black"/>
          <w:sz w:val="28"/>
        </w:rPr>
        <w:t>DE</w:t>
      </w:r>
      <w:r>
        <w:rPr>
          <w:rFonts w:ascii="Arial Black"/>
          <w:spacing w:val="-2"/>
          <w:sz w:val="28"/>
        </w:rPr>
        <w:t> </w:t>
      </w:r>
      <w:r>
        <w:rPr>
          <w:rFonts w:ascii="Arial Black"/>
          <w:sz w:val="28"/>
        </w:rPr>
        <w:t>CIENCIAS</w:t>
      </w:r>
      <w:r>
        <w:rPr>
          <w:rFonts w:ascii="Arial Black"/>
          <w:spacing w:val="-3"/>
          <w:sz w:val="28"/>
        </w:rPr>
        <w:t> </w:t>
      </w:r>
      <w:r>
        <w:rPr>
          <w:rFonts w:ascii="Arial Black"/>
          <w:spacing w:val="-2"/>
          <w:sz w:val="28"/>
        </w:rPr>
        <w:t>ADMINISTRATIVAS</w:t>
      </w:r>
    </w:p>
    <w:p>
      <w:pPr>
        <w:pStyle w:val="Heading1"/>
        <w:spacing w:line="360" w:lineRule="auto" w:before="317"/>
        <w:ind w:left="143"/>
      </w:pPr>
      <w:r>
        <w:rPr/>
        <w:t>ESCUELA</w:t>
      </w:r>
      <w:r>
        <w:rPr>
          <w:spacing w:val="-7"/>
        </w:rPr>
        <w:t> </w:t>
      </w:r>
      <w:r>
        <w:rPr/>
        <w:t>PROFESIONAL</w:t>
      </w:r>
      <w:r>
        <w:rPr>
          <w:spacing w:val="-5"/>
        </w:rPr>
        <w:t> </w:t>
      </w:r>
      <w:r>
        <w:rPr/>
        <w:t>DE</w:t>
      </w:r>
      <w:r>
        <w:rPr>
          <w:spacing w:val="-8"/>
        </w:rPr>
        <w:t> </w:t>
      </w:r>
      <w:r>
        <w:rPr/>
        <w:t>ADMINISTRACIÓN</w:t>
      </w:r>
      <w:r>
        <w:rPr>
          <w:spacing w:val="-7"/>
        </w:rPr>
        <w:t> </w:t>
      </w:r>
      <w:r>
        <w:rPr/>
        <w:t>Y</w:t>
      </w:r>
      <w:r>
        <w:rPr>
          <w:spacing w:val="-8"/>
        </w:rPr>
        <w:t> </w:t>
      </w:r>
      <w:r>
        <w:rPr/>
        <w:t>NEGOCIOS </w:t>
      </w:r>
      <w:r>
        <w:rPr>
          <w:spacing w:val="-2"/>
        </w:rPr>
        <w:t>INTERNACIONALES</w:t>
      </w:r>
    </w:p>
    <w:p>
      <w:pPr>
        <w:pStyle w:val="BodyText"/>
        <w:spacing w:before="1"/>
        <w:rPr>
          <w:rFonts w:ascii="Arial"/>
          <w:b/>
          <w:sz w:val="13"/>
        </w:rPr>
      </w:pPr>
      <w:r>
        <w:rPr>
          <w:rFonts w:ascii="Arial"/>
          <w:b/>
          <w:sz w:val="13"/>
        </w:rPr>
        <w:drawing>
          <wp:anchor distT="0" distB="0" distL="0" distR="0" allowOverlap="1" layoutInCell="1" locked="0" behindDoc="1" simplePos="0" relativeHeight="487587840">
            <wp:simplePos x="0" y="0"/>
            <wp:positionH relativeFrom="page">
              <wp:posOffset>3332766</wp:posOffset>
            </wp:positionH>
            <wp:positionV relativeFrom="paragraph">
              <wp:posOffset>111286</wp:posOffset>
            </wp:positionV>
            <wp:extent cx="1232805" cy="1766316"/>
            <wp:effectExtent l="0" t="0" r="0" b="0"/>
            <wp:wrapTopAndBottom/>
            <wp:docPr id="3" name="Image 3"/>
            <wp:cNvGraphicFramePr>
              <a:graphicFrameLocks/>
            </wp:cNvGraphicFramePr>
            <a:graphic>
              <a:graphicData uri="http://schemas.openxmlformats.org/drawingml/2006/picture">
                <pic:pic>
                  <pic:nvPicPr>
                    <pic:cNvPr id="3" name="Image 3"/>
                    <pic:cNvPicPr/>
                  </pic:nvPicPr>
                  <pic:blipFill>
                    <a:blip r:embed="rId7" cstate="print"/>
                    <a:stretch>
                      <a:fillRect/>
                    </a:stretch>
                  </pic:blipFill>
                  <pic:spPr>
                    <a:xfrm>
                      <a:off x="0" y="0"/>
                      <a:ext cx="1232805" cy="1766316"/>
                    </a:xfrm>
                    <a:prstGeom prst="rect">
                      <a:avLst/>
                    </a:prstGeom>
                  </pic:spPr>
                </pic:pic>
              </a:graphicData>
            </a:graphic>
          </wp:anchor>
        </w:drawing>
      </w:r>
    </w:p>
    <w:p>
      <w:pPr>
        <w:pStyle w:val="BodyText"/>
        <w:spacing w:before="158"/>
        <w:rPr>
          <w:rFonts w:ascii="Arial"/>
          <w:b/>
          <w:sz w:val="28"/>
        </w:rPr>
      </w:pPr>
    </w:p>
    <w:p>
      <w:pPr>
        <w:spacing w:before="0"/>
        <w:ind w:left="144" w:right="149" w:firstLine="0"/>
        <w:jc w:val="center"/>
        <w:rPr>
          <w:rFonts w:ascii="Arial Black" w:hAnsi="Arial Black"/>
          <w:sz w:val="28"/>
        </w:rPr>
      </w:pPr>
      <w:r>
        <w:rPr>
          <w:rFonts w:ascii="Arial Black" w:hAnsi="Arial Black"/>
          <w:w w:val="90"/>
          <w:sz w:val="28"/>
        </w:rPr>
        <w:t>EL</w:t>
      </w:r>
      <w:r>
        <w:rPr>
          <w:rFonts w:ascii="Arial Black" w:hAnsi="Arial Black"/>
          <w:spacing w:val="-8"/>
          <w:w w:val="90"/>
          <w:sz w:val="28"/>
        </w:rPr>
        <w:t> </w:t>
      </w:r>
      <w:r>
        <w:rPr>
          <w:rFonts w:ascii="Arial Black" w:hAnsi="Arial Black"/>
          <w:w w:val="90"/>
          <w:sz w:val="28"/>
        </w:rPr>
        <w:t>IMPUESTO</w:t>
      </w:r>
      <w:r>
        <w:rPr>
          <w:rFonts w:ascii="Arial Black" w:hAnsi="Arial Black"/>
          <w:spacing w:val="-7"/>
          <w:w w:val="90"/>
          <w:sz w:val="28"/>
        </w:rPr>
        <w:t> </w:t>
      </w:r>
      <w:r>
        <w:rPr>
          <w:rFonts w:ascii="Arial Black" w:hAnsi="Arial Black"/>
          <w:w w:val="90"/>
          <w:sz w:val="28"/>
        </w:rPr>
        <w:t>GENERAL</w:t>
      </w:r>
      <w:r>
        <w:rPr>
          <w:rFonts w:ascii="Arial Black" w:hAnsi="Arial Black"/>
          <w:spacing w:val="-8"/>
          <w:w w:val="90"/>
          <w:sz w:val="28"/>
        </w:rPr>
        <w:t> </w:t>
      </w:r>
      <w:r>
        <w:rPr>
          <w:rFonts w:ascii="Arial Black" w:hAnsi="Arial Black"/>
          <w:w w:val="90"/>
          <w:sz w:val="28"/>
        </w:rPr>
        <w:t>DE</w:t>
      </w:r>
      <w:r>
        <w:rPr>
          <w:rFonts w:ascii="Arial Black" w:hAnsi="Arial Black"/>
          <w:spacing w:val="-7"/>
          <w:w w:val="90"/>
          <w:sz w:val="28"/>
        </w:rPr>
        <w:t> </w:t>
      </w:r>
      <w:r>
        <w:rPr>
          <w:rFonts w:ascii="Arial Black" w:hAnsi="Arial Black"/>
          <w:w w:val="90"/>
          <w:sz w:val="28"/>
        </w:rPr>
        <w:t>LAS</w:t>
      </w:r>
      <w:r>
        <w:rPr>
          <w:rFonts w:ascii="Arial Black" w:hAnsi="Arial Black"/>
          <w:spacing w:val="-7"/>
          <w:w w:val="90"/>
          <w:sz w:val="28"/>
        </w:rPr>
        <w:t> </w:t>
      </w:r>
      <w:r>
        <w:rPr>
          <w:rFonts w:ascii="Arial Black" w:hAnsi="Arial Black"/>
          <w:w w:val="90"/>
          <w:sz w:val="28"/>
        </w:rPr>
        <w:t>VENTAS</w:t>
      </w:r>
      <w:r>
        <w:rPr>
          <w:rFonts w:ascii="Arial Black" w:hAnsi="Arial Black"/>
          <w:spacing w:val="-7"/>
          <w:w w:val="90"/>
          <w:sz w:val="28"/>
        </w:rPr>
        <w:t> </w:t>
      </w:r>
      <w:r>
        <w:rPr>
          <w:rFonts w:ascii="Arial Black" w:hAnsi="Arial Black"/>
          <w:w w:val="90"/>
          <w:sz w:val="28"/>
        </w:rPr>
        <w:t>EN</w:t>
      </w:r>
      <w:r>
        <w:rPr>
          <w:rFonts w:ascii="Arial Black" w:hAnsi="Arial Black"/>
          <w:spacing w:val="-7"/>
          <w:w w:val="90"/>
          <w:sz w:val="28"/>
        </w:rPr>
        <w:t> </w:t>
      </w:r>
      <w:r>
        <w:rPr>
          <w:rFonts w:ascii="Arial Black" w:hAnsi="Arial Black"/>
          <w:w w:val="90"/>
          <w:sz w:val="28"/>
        </w:rPr>
        <w:t>LA</w:t>
      </w:r>
      <w:r>
        <w:rPr>
          <w:rFonts w:ascii="Arial Black" w:hAnsi="Arial Black"/>
          <w:spacing w:val="-7"/>
          <w:w w:val="90"/>
          <w:sz w:val="28"/>
        </w:rPr>
        <w:t> </w:t>
      </w:r>
      <w:r>
        <w:rPr>
          <w:rFonts w:ascii="Arial Black" w:hAnsi="Arial Black"/>
          <w:w w:val="90"/>
          <w:sz w:val="28"/>
        </w:rPr>
        <w:t>PERCEPCIÓN ECONÓMICA DE LOS COMERCIANTES DEL CENTRO</w:t>
      </w:r>
    </w:p>
    <w:p>
      <w:pPr>
        <w:spacing w:before="0"/>
        <w:ind w:left="1498" w:right="1414" w:firstLine="0"/>
        <w:jc w:val="center"/>
        <w:rPr>
          <w:rFonts w:ascii="Arial Black"/>
          <w:sz w:val="28"/>
        </w:rPr>
      </w:pPr>
      <w:r>
        <w:rPr>
          <w:rFonts w:ascii="Arial Black"/>
          <w:w w:val="90"/>
          <w:sz w:val="28"/>
        </w:rPr>
        <w:t>DE</w:t>
      </w:r>
      <w:r>
        <w:rPr>
          <w:rFonts w:ascii="Arial Black"/>
          <w:spacing w:val="-12"/>
          <w:w w:val="90"/>
          <w:sz w:val="28"/>
        </w:rPr>
        <w:t> </w:t>
      </w:r>
      <w:r>
        <w:rPr>
          <w:rFonts w:ascii="Arial Black"/>
          <w:w w:val="90"/>
          <w:sz w:val="28"/>
        </w:rPr>
        <w:t>ABASTOS</w:t>
      </w:r>
      <w:r>
        <w:rPr>
          <w:rFonts w:ascii="Arial Black"/>
          <w:spacing w:val="-12"/>
          <w:w w:val="90"/>
          <w:sz w:val="28"/>
        </w:rPr>
        <w:t> </w:t>
      </w:r>
      <w:r>
        <w:rPr>
          <w:rFonts w:ascii="Arial Black"/>
          <w:w w:val="90"/>
          <w:sz w:val="28"/>
        </w:rPr>
        <w:t>LAS</w:t>
      </w:r>
      <w:r>
        <w:rPr>
          <w:rFonts w:ascii="Arial Black"/>
          <w:spacing w:val="-10"/>
          <w:w w:val="90"/>
          <w:sz w:val="28"/>
        </w:rPr>
        <w:t> </w:t>
      </w:r>
      <w:r>
        <w:rPr>
          <w:rFonts w:ascii="Arial Black"/>
          <w:w w:val="90"/>
          <w:sz w:val="28"/>
        </w:rPr>
        <w:t>MERCEDES</w:t>
      </w:r>
      <w:r>
        <w:rPr>
          <w:rFonts w:ascii="Arial Black"/>
          <w:spacing w:val="-12"/>
          <w:w w:val="90"/>
          <w:sz w:val="28"/>
        </w:rPr>
        <w:t> </w:t>
      </w:r>
      <w:r>
        <w:rPr>
          <w:rFonts w:ascii="Arial Black"/>
          <w:w w:val="90"/>
          <w:sz w:val="28"/>
        </w:rPr>
        <w:t>DE </w:t>
      </w:r>
      <w:r>
        <w:rPr>
          <w:rFonts w:ascii="Arial Black"/>
          <w:spacing w:val="-4"/>
          <w:sz w:val="28"/>
        </w:rPr>
        <w:t>JULIACA,</w:t>
      </w:r>
      <w:r>
        <w:rPr>
          <w:rFonts w:ascii="Arial Black"/>
          <w:spacing w:val="-20"/>
          <w:sz w:val="28"/>
        </w:rPr>
        <w:t> </w:t>
      </w:r>
      <w:r>
        <w:rPr>
          <w:rFonts w:ascii="Arial Black"/>
          <w:spacing w:val="-4"/>
          <w:sz w:val="28"/>
        </w:rPr>
        <w:t>2023</w:t>
      </w:r>
    </w:p>
    <w:p>
      <w:pPr>
        <w:pStyle w:val="BodyText"/>
        <w:spacing w:before="241"/>
        <w:rPr>
          <w:rFonts w:ascii="Arial Black"/>
          <w:sz w:val="28"/>
        </w:rPr>
      </w:pPr>
    </w:p>
    <w:p>
      <w:pPr>
        <w:pStyle w:val="Heading1"/>
        <w:ind w:left="47"/>
      </w:pPr>
      <w:r>
        <w:rPr/>
        <w:t>TESIS</w:t>
      </w:r>
      <w:r>
        <w:rPr>
          <w:spacing w:val="-7"/>
        </w:rPr>
        <w:t> </w:t>
      </w:r>
      <w:r>
        <w:rPr/>
        <w:t>PRESENTADA</w:t>
      </w:r>
      <w:r>
        <w:rPr>
          <w:spacing w:val="-7"/>
        </w:rPr>
        <w:t> </w:t>
      </w:r>
      <w:r>
        <w:rPr>
          <w:spacing w:val="-4"/>
        </w:rPr>
        <w:t>POR:</w:t>
      </w:r>
    </w:p>
    <w:p>
      <w:pPr>
        <w:spacing w:before="161"/>
        <w:ind w:left="0" w:right="138" w:firstLine="0"/>
        <w:jc w:val="center"/>
        <w:rPr>
          <w:rFonts w:ascii="Arial Black"/>
          <w:sz w:val="28"/>
        </w:rPr>
      </w:pPr>
      <w:r>
        <w:rPr>
          <w:rFonts w:ascii="Arial Black"/>
          <w:sz w:val="28"/>
        </w:rPr>
        <w:t>Bach.</w:t>
      </w:r>
      <w:r>
        <w:rPr>
          <w:rFonts w:ascii="Arial Black"/>
          <w:spacing w:val="-5"/>
          <w:sz w:val="28"/>
        </w:rPr>
        <w:t> </w:t>
      </w:r>
      <w:r>
        <w:rPr>
          <w:rFonts w:ascii="Arial Black"/>
          <w:sz w:val="28"/>
        </w:rPr>
        <w:t>AYDE</w:t>
      </w:r>
      <w:r>
        <w:rPr>
          <w:rFonts w:ascii="Arial Black"/>
          <w:spacing w:val="-3"/>
          <w:sz w:val="28"/>
        </w:rPr>
        <w:t> </w:t>
      </w:r>
      <w:r>
        <w:rPr>
          <w:rFonts w:ascii="Arial Black"/>
          <w:sz w:val="28"/>
        </w:rPr>
        <w:t>RUTH</w:t>
      </w:r>
      <w:r>
        <w:rPr>
          <w:rFonts w:ascii="Arial Black"/>
          <w:spacing w:val="-3"/>
          <w:sz w:val="28"/>
        </w:rPr>
        <w:t> </w:t>
      </w:r>
      <w:r>
        <w:rPr>
          <w:rFonts w:ascii="Arial Black"/>
          <w:sz w:val="28"/>
        </w:rPr>
        <w:t>QUISPE</w:t>
      </w:r>
      <w:r>
        <w:rPr>
          <w:rFonts w:ascii="Arial Black"/>
          <w:spacing w:val="-3"/>
          <w:sz w:val="28"/>
        </w:rPr>
        <w:t> </w:t>
      </w:r>
      <w:r>
        <w:rPr>
          <w:rFonts w:ascii="Arial Black"/>
          <w:spacing w:val="-2"/>
          <w:sz w:val="28"/>
        </w:rPr>
        <w:t>HUANCOLLO</w:t>
      </w:r>
    </w:p>
    <w:p>
      <w:pPr>
        <w:pStyle w:val="BodyText"/>
        <w:spacing w:before="254"/>
        <w:rPr>
          <w:rFonts w:ascii="Arial Black"/>
          <w:sz w:val="28"/>
        </w:rPr>
      </w:pPr>
    </w:p>
    <w:p>
      <w:pPr>
        <w:pStyle w:val="Heading1"/>
        <w:spacing w:line="360" w:lineRule="auto"/>
        <w:ind w:left="1144" w:right="1061" w:hanging="77"/>
      </w:pPr>
      <w:r>
        <w:rPr/>
        <w:t>PARA OPTAR EL TÍTULO PROFESIONAL DE: LICENCIADA</w:t>
      </w:r>
      <w:r>
        <w:rPr>
          <w:spacing w:val="-8"/>
        </w:rPr>
        <w:t> </w:t>
      </w:r>
      <w:r>
        <w:rPr/>
        <w:t>EN</w:t>
      </w:r>
      <w:r>
        <w:rPr>
          <w:spacing w:val="-9"/>
        </w:rPr>
        <w:t> </w:t>
      </w:r>
      <w:r>
        <w:rPr/>
        <w:t>ADMINISTRACIÓN</w:t>
      </w:r>
      <w:r>
        <w:rPr>
          <w:spacing w:val="-9"/>
        </w:rPr>
        <w:t> </w:t>
      </w:r>
      <w:r>
        <w:rPr/>
        <w:t>Y</w:t>
      </w:r>
      <w:r>
        <w:rPr>
          <w:spacing w:val="-9"/>
        </w:rPr>
        <w:t> </w:t>
      </w:r>
      <w:r>
        <w:rPr/>
        <w:t>NEGOCIOS </w:t>
      </w:r>
      <w:r>
        <w:rPr>
          <w:spacing w:val="-2"/>
        </w:rPr>
        <w:t>INTERNACIONALES</w:t>
      </w:r>
    </w:p>
    <w:p>
      <w:pPr>
        <w:pStyle w:val="BodyText"/>
        <w:rPr>
          <w:rFonts w:ascii="Arial"/>
          <w:b/>
          <w:sz w:val="28"/>
        </w:rPr>
      </w:pPr>
    </w:p>
    <w:p>
      <w:pPr>
        <w:pStyle w:val="BodyText"/>
        <w:spacing w:before="79"/>
        <w:rPr>
          <w:rFonts w:ascii="Arial"/>
          <w:b/>
          <w:sz w:val="28"/>
        </w:rPr>
      </w:pPr>
    </w:p>
    <w:p>
      <w:pPr>
        <w:spacing w:line="448" w:lineRule="auto" w:before="0"/>
        <w:ind w:left="3042" w:right="3037" w:firstLine="0"/>
        <w:jc w:val="center"/>
        <w:rPr>
          <w:rFonts w:ascii="Arial MT" w:hAnsi="Arial MT"/>
          <w:sz w:val="28"/>
        </w:rPr>
      </w:pPr>
      <w:r>
        <w:rPr>
          <w:rFonts w:ascii="Arial MT" w:hAnsi="Arial MT"/>
          <w:sz w:val="28"/>
        </w:rPr>
        <w:t>JULIACA</w:t>
      </w:r>
      <w:r>
        <w:rPr>
          <w:rFonts w:ascii="Arial MT" w:hAnsi="Arial MT"/>
          <w:spacing w:val="-17"/>
          <w:sz w:val="28"/>
        </w:rPr>
        <w:t> </w:t>
      </w:r>
      <w:r>
        <w:rPr>
          <w:rFonts w:ascii="Arial MT" w:hAnsi="Arial MT"/>
          <w:sz w:val="28"/>
        </w:rPr>
        <w:t>-</w:t>
      </w:r>
      <w:r>
        <w:rPr>
          <w:rFonts w:ascii="Arial MT" w:hAnsi="Arial MT"/>
          <w:spacing w:val="-16"/>
          <w:sz w:val="28"/>
        </w:rPr>
        <w:t> </w:t>
      </w:r>
      <w:r>
        <w:rPr>
          <w:rFonts w:ascii="Arial MT" w:hAnsi="Arial MT"/>
          <w:sz w:val="28"/>
        </w:rPr>
        <w:t>PERÚ </w:t>
      </w:r>
      <w:r>
        <w:rPr>
          <w:rFonts w:ascii="Arial MT" w:hAnsi="Arial MT"/>
          <w:spacing w:val="-4"/>
          <w:sz w:val="28"/>
        </w:rPr>
        <w:t>2024</w:t>
      </w:r>
    </w:p>
    <w:p>
      <w:pPr>
        <w:spacing w:after="0" w:line="448" w:lineRule="auto"/>
        <w:jc w:val="center"/>
        <w:rPr>
          <w:rFonts w:ascii="Arial MT" w:hAnsi="Arial MT"/>
          <w:sz w:val="28"/>
        </w:rPr>
        <w:sectPr>
          <w:type w:val="continuous"/>
          <w:pgSz w:w="11910" w:h="16840"/>
          <w:pgMar w:top="0" w:bottom="0" w:left="1700" w:right="1417"/>
        </w:sectPr>
      </w:pPr>
    </w:p>
    <w:p>
      <w:pPr>
        <w:spacing w:line="360" w:lineRule="auto" w:before="74"/>
        <w:ind w:left="1970" w:right="1963" w:hanging="3"/>
        <w:jc w:val="center"/>
        <w:rPr>
          <w:rFonts w:ascii="Arial Black" w:hAnsi="Arial Black"/>
          <w:sz w:val="28"/>
        </w:rPr>
      </w:pPr>
      <w:r>
        <w:rPr>
          <w:rFonts w:ascii="Arial Black" w:hAnsi="Arial Black"/>
          <w:sz w:val="28"/>
        </w:rPr>
        <mc:AlternateContent>
          <mc:Choice Requires="wps">
            <w:drawing>
              <wp:anchor distT="0" distB="0" distL="0" distR="0" allowOverlap="1" layoutInCell="1" locked="0" behindDoc="0" simplePos="0" relativeHeight="15730176">
                <wp:simplePos x="0" y="0"/>
                <wp:positionH relativeFrom="page">
                  <wp:posOffset>0</wp:posOffset>
                </wp:positionH>
                <wp:positionV relativeFrom="page">
                  <wp:posOffset>0</wp:posOffset>
                </wp:positionV>
                <wp:extent cx="7559040" cy="10692130"/>
                <wp:effectExtent l="0" t="0" r="0" b="0"/>
                <wp:wrapNone/>
                <wp:docPr id="4" name="Group 4"/>
                <wp:cNvGraphicFramePr>
                  <a:graphicFrameLocks/>
                </wp:cNvGraphicFramePr>
                <a:graphic>
                  <a:graphicData uri="http://schemas.microsoft.com/office/word/2010/wordprocessingGroup">
                    <wpg:wgp>
                      <wpg:cNvPr id="4" name="Group 4"/>
                      <wpg:cNvGrpSpPr/>
                      <wpg:grpSpPr>
                        <a:xfrm>
                          <a:off x="0" y="0"/>
                          <a:ext cx="7559040" cy="10692130"/>
                          <a:chExt cx="7559040" cy="10692130"/>
                        </a:xfrm>
                      </wpg:grpSpPr>
                      <pic:pic>
                        <pic:nvPicPr>
                          <pic:cNvPr id="5" name="Image 5" descr="Texto, Carta  Descripción generada automáticamente con confianza media"/>
                          <pic:cNvPicPr/>
                        </pic:nvPicPr>
                        <pic:blipFill>
                          <a:blip r:embed="rId8" cstate="print"/>
                          <a:stretch>
                            <a:fillRect/>
                          </a:stretch>
                        </pic:blipFill>
                        <pic:spPr>
                          <a:xfrm>
                            <a:off x="9525" y="38097"/>
                            <a:ext cx="7470139" cy="10591798"/>
                          </a:xfrm>
                          <a:prstGeom prst="rect">
                            <a:avLst/>
                          </a:prstGeom>
                        </pic:spPr>
                      </pic:pic>
                      <pic:pic>
                        <pic:nvPicPr>
                          <pic:cNvPr id="6" name="Image 6"/>
                          <pic:cNvPicPr/>
                        </pic:nvPicPr>
                        <pic:blipFill>
                          <a:blip r:embed="rId5" cstate="print"/>
                          <a:stretch>
                            <a:fillRect/>
                          </a:stretch>
                        </pic:blipFill>
                        <pic:spPr>
                          <a:xfrm>
                            <a:off x="0" y="0"/>
                            <a:ext cx="7559040" cy="858265"/>
                          </a:xfrm>
                          <a:prstGeom prst="rect">
                            <a:avLst/>
                          </a:prstGeom>
                        </pic:spPr>
                      </pic:pic>
                      <pic:pic>
                        <pic:nvPicPr>
                          <pic:cNvPr id="7" name="Image 7"/>
                          <pic:cNvPicPr/>
                        </pic:nvPicPr>
                        <pic:blipFill>
                          <a:blip r:embed="rId6" cstate="print"/>
                          <a:stretch>
                            <a:fillRect/>
                          </a:stretch>
                        </pic:blipFill>
                        <pic:spPr>
                          <a:xfrm>
                            <a:off x="0" y="10125202"/>
                            <a:ext cx="7559040" cy="566928"/>
                          </a:xfrm>
                          <a:prstGeom prst="rect">
                            <a:avLst/>
                          </a:prstGeom>
                        </pic:spPr>
                      </pic:pic>
                    </wpg:wgp>
                  </a:graphicData>
                </a:graphic>
              </wp:anchor>
            </w:drawing>
          </mc:Choice>
          <mc:Fallback>
            <w:pict>
              <v:group style="position:absolute;margin-left:0pt;margin-top:.000024pt;width:595.2pt;height:841.9pt;mso-position-horizontal-relative:page;mso-position-vertical-relative:page;z-index:15730176" id="docshapegroup1" coordorigin="0,0" coordsize="11904,16838">
                <v:shape style="position:absolute;left:15;top:60;width:11764;height:16680" type="#_x0000_t75" id="docshape2" alt="Texto, Carta  Descripción generada automáticamente con confianza media" stroked="false">
                  <v:imagedata r:id="rId8" o:title=""/>
                </v:shape>
                <v:shape style="position:absolute;left:0;top:0;width:11904;height:1352" type="#_x0000_t75" id="docshape3" stroked="false">
                  <v:imagedata r:id="rId5" o:title=""/>
                </v:shape>
                <v:shape style="position:absolute;left:0;top:15945;width:11904;height:893" type="#_x0000_t75" id="docshape4" stroked="false">
                  <v:imagedata r:id="rId6" o:title=""/>
                </v:shape>
                <w10:wrap type="none"/>
              </v:group>
            </w:pict>
          </mc:Fallback>
        </mc:AlternateContent>
      </w:r>
      <w:r>
        <w:rPr>
          <w:rFonts w:ascii="Arial Black" w:hAnsi="Arial Black"/>
          <w:sz w:val="28"/>
        </w:rPr>
        <w:t>UNIVERSIDAD ANDINA</w:t>
      </w:r>
      <w:r>
        <w:rPr>
          <w:rFonts w:ascii="Arial Black" w:hAnsi="Arial Black"/>
          <w:spacing w:val="40"/>
          <w:sz w:val="28"/>
        </w:rPr>
        <w:t> </w:t>
      </w:r>
      <w:r>
        <w:rPr>
          <w:rFonts w:ascii="Arial Black" w:hAnsi="Arial Black"/>
          <w:sz w:val="28"/>
        </w:rPr>
        <w:t>NÉSTOR</w:t>
      </w:r>
      <w:r>
        <w:rPr>
          <w:rFonts w:ascii="Arial Black" w:hAnsi="Arial Black"/>
          <w:spacing w:val="-17"/>
          <w:sz w:val="28"/>
        </w:rPr>
        <w:t> </w:t>
      </w:r>
      <w:r>
        <w:rPr>
          <w:rFonts w:ascii="Arial Black" w:hAnsi="Arial Black"/>
          <w:sz w:val="28"/>
        </w:rPr>
        <w:t>CÁCERES</w:t>
      </w:r>
      <w:r>
        <w:rPr>
          <w:rFonts w:ascii="Arial Black" w:hAnsi="Arial Black"/>
          <w:spacing w:val="-18"/>
          <w:sz w:val="28"/>
        </w:rPr>
        <w:t> </w:t>
      </w:r>
      <w:r>
        <w:rPr>
          <w:rFonts w:ascii="Arial Black" w:hAnsi="Arial Black"/>
          <w:sz w:val="28"/>
        </w:rPr>
        <w:t>VELÁSQUEZ</w:t>
      </w:r>
    </w:p>
    <w:p>
      <w:pPr>
        <w:spacing w:before="0"/>
        <w:ind w:left="139" w:right="138" w:firstLine="0"/>
        <w:jc w:val="center"/>
        <w:rPr>
          <w:rFonts w:ascii="Arial Black"/>
          <w:sz w:val="28"/>
        </w:rPr>
      </w:pPr>
      <w:r>
        <w:rPr>
          <w:rFonts w:ascii="Arial Black"/>
          <w:sz w:val="28"/>
        </w:rPr>
        <w:t>FACULTAD</w:t>
      </w:r>
      <w:r>
        <w:rPr>
          <w:rFonts w:ascii="Arial Black"/>
          <w:spacing w:val="-5"/>
          <w:sz w:val="28"/>
        </w:rPr>
        <w:t> </w:t>
      </w:r>
      <w:r>
        <w:rPr>
          <w:rFonts w:ascii="Arial Black"/>
          <w:sz w:val="28"/>
        </w:rPr>
        <w:t>DE</w:t>
      </w:r>
      <w:r>
        <w:rPr>
          <w:rFonts w:ascii="Arial Black"/>
          <w:spacing w:val="-2"/>
          <w:sz w:val="28"/>
        </w:rPr>
        <w:t> </w:t>
      </w:r>
      <w:r>
        <w:rPr>
          <w:rFonts w:ascii="Arial Black"/>
          <w:sz w:val="28"/>
        </w:rPr>
        <w:t>CIENCIAS</w:t>
      </w:r>
      <w:r>
        <w:rPr>
          <w:rFonts w:ascii="Arial Black"/>
          <w:spacing w:val="-3"/>
          <w:sz w:val="28"/>
        </w:rPr>
        <w:t> </w:t>
      </w:r>
      <w:r>
        <w:rPr>
          <w:rFonts w:ascii="Arial Black"/>
          <w:spacing w:val="-2"/>
          <w:sz w:val="28"/>
        </w:rPr>
        <w:t>ADMINISTRATIVAS</w:t>
      </w:r>
    </w:p>
    <w:p>
      <w:pPr>
        <w:pStyle w:val="Heading1"/>
        <w:spacing w:line="360" w:lineRule="auto" w:before="196"/>
        <w:ind w:left="143"/>
      </w:pPr>
      <w:r>
        <w:rPr/>
        <w:t>ESCUELA</w:t>
      </w:r>
      <w:r>
        <w:rPr>
          <w:spacing w:val="-7"/>
        </w:rPr>
        <w:t> </w:t>
      </w:r>
      <w:r>
        <w:rPr/>
        <w:t>PROFESIONAL</w:t>
      </w:r>
      <w:r>
        <w:rPr>
          <w:spacing w:val="-7"/>
        </w:rPr>
        <w:t> </w:t>
      </w:r>
      <w:r>
        <w:rPr/>
        <w:t>DE</w:t>
      </w:r>
      <w:r>
        <w:rPr>
          <w:spacing w:val="-7"/>
        </w:rPr>
        <w:t> </w:t>
      </w:r>
      <w:r>
        <w:rPr/>
        <w:t>ADMINISTRACIÓN</w:t>
      </w:r>
      <w:r>
        <w:rPr>
          <w:spacing w:val="-7"/>
        </w:rPr>
        <w:t> </w:t>
      </w:r>
      <w:r>
        <w:rPr/>
        <w:t>Y</w:t>
      </w:r>
      <w:r>
        <w:rPr>
          <w:spacing w:val="-7"/>
        </w:rPr>
        <w:t> </w:t>
      </w:r>
      <w:r>
        <w:rPr/>
        <w:t>NEGOCIOS </w:t>
      </w:r>
      <w:r>
        <w:rPr>
          <w:spacing w:val="-2"/>
        </w:rPr>
        <w:t>INTERNACIONALES</w:t>
      </w:r>
    </w:p>
    <w:p>
      <w:pPr>
        <w:spacing w:before="1"/>
        <w:ind w:left="145" w:right="138" w:firstLine="0"/>
        <w:jc w:val="center"/>
        <w:rPr>
          <w:rFonts w:ascii="Arial Black" w:hAnsi="Arial Black"/>
          <w:sz w:val="28"/>
        </w:rPr>
      </w:pPr>
      <w:r>
        <w:rPr>
          <w:rFonts w:ascii="Arial Black" w:hAnsi="Arial Black"/>
          <w:w w:val="90"/>
          <w:sz w:val="28"/>
        </w:rPr>
        <w:t>EL</w:t>
      </w:r>
      <w:r>
        <w:rPr>
          <w:rFonts w:ascii="Arial Black" w:hAnsi="Arial Black"/>
          <w:spacing w:val="-7"/>
          <w:w w:val="90"/>
          <w:sz w:val="28"/>
        </w:rPr>
        <w:t> </w:t>
      </w:r>
      <w:r>
        <w:rPr>
          <w:rFonts w:ascii="Arial Black" w:hAnsi="Arial Black"/>
          <w:w w:val="90"/>
          <w:sz w:val="28"/>
        </w:rPr>
        <w:t>IMPUESTO</w:t>
      </w:r>
      <w:r>
        <w:rPr>
          <w:rFonts w:ascii="Arial Black" w:hAnsi="Arial Black"/>
          <w:spacing w:val="-6"/>
          <w:w w:val="90"/>
          <w:sz w:val="28"/>
        </w:rPr>
        <w:t> </w:t>
      </w:r>
      <w:r>
        <w:rPr>
          <w:rFonts w:ascii="Arial Black" w:hAnsi="Arial Black"/>
          <w:w w:val="90"/>
          <w:sz w:val="28"/>
        </w:rPr>
        <w:t>GENERAL</w:t>
      </w:r>
      <w:r>
        <w:rPr>
          <w:rFonts w:ascii="Arial Black" w:hAnsi="Arial Black"/>
          <w:spacing w:val="-8"/>
          <w:w w:val="90"/>
          <w:sz w:val="28"/>
        </w:rPr>
        <w:t> </w:t>
      </w:r>
      <w:r>
        <w:rPr>
          <w:rFonts w:ascii="Arial Black" w:hAnsi="Arial Black"/>
          <w:w w:val="90"/>
          <w:sz w:val="28"/>
        </w:rPr>
        <w:t>DE</w:t>
      </w:r>
      <w:r>
        <w:rPr>
          <w:rFonts w:ascii="Arial Black" w:hAnsi="Arial Black"/>
          <w:spacing w:val="-6"/>
          <w:w w:val="90"/>
          <w:sz w:val="28"/>
        </w:rPr>
        <w:t> </w:t>
      </w:r>
      <w:r>
        <w:rPr>
          <w:rFonts w:ascii="Arial Black" w:hAnsi="Arial Black"/>
          <w:w w:val="90"/>
          <w:sz w:val="28"/>
        </w:rPr>
        <w:t>LAS</w:t>
      </w:r>
      <w:r>
        <w:rPr>
          <w:rFonts w:ascii="Arial Black" w:hAnsi="Arial Black"/>
          <w:spacing w:val="-6"/>
          <w:w w:val="90"/>
          <w:sz w:val="28"/>
        </w:rPr>
        <w:t> </w:t>
      </w:r>
      <w:r>
        <w:rPr>
          <w:rFonts w:ascii="Arial Black" w:hAnsi="Arial Black"/>
          <w:w w:val="90"/>
          <w:sz w:val="28"/>
        </w:rPr>
        <w:t>VENTAS</w:t>
      </w:r>
      <w:r>
        <w:rPr>
          <w:rFonts w:ascii="Arial Black" w:hAnsi="Arial Black"/>
          <w:spacing w:val="-6"/>
          <w:w w:val="90"/>
          <w:sz w:val="28"/>
        </w:rPr>
        <w:t> </w:t>
      </w:r>
      <w:r>
        <w:rPr>
          <w:rFonts w:ascii="Arial Black" w:hAnsi="Arial Black"/>
          <w:w w:val="90"/>
          <w:sz w:val="28"/>
        </w:rPr>
        <w:t>EN</w:t>
      </w:r>
      <w:r>
        <w:rPr>
          <w:rFonts w:ascii="Arial Black" w:hAnsi="Arial Black"/>
          <w:spacing w:val="-6"/>
          <w:w w:val="90"/>
          <w:sz w:val="28"/>
        </w:rPr>
        <w:t> </w:t>
      </w:r>
      <w:r>
        <w:rPr>
          <w:rFonts w:ascii="Arial Black" w:hAnsi="Arial Black"/>
          <w:w w:val="90"/>
          <w:sz w:val="28"/>
        </w:rPr>
        <w:t>LA PERCEPCIÓN ECONÓMICA DE LOS COMERCIANTES DEL CENTRO</w:t>
      </w:r>
    </w:p>
    <w:p>
      <w:pPr>
        <w:spacing w:before="0"/>
        <w:ind w:left="1498" w:right="1414" w:firstLine="0"/>
        <w:jc w:val="center"/>
        <w:rPr>
          <w:rFonts w:ascii="Arial Black"/>
          <w:sz w:val="28"/>
        </w:rPr>
      </w:pPr>
      <w:r>
        <w:rPr>
          <w:rFonts w:ascii="Arial Black"/>
          <w:w w:val="90"/>
          <w:sz w:val="28"/>
        </w:rPr>
        <w:t>DE</w:t>
      </w:r>
      <w:r>
        <w:rPr>
          <w:rFonts w:ascii="Arial Black"/>
          <w:spacing w:val="-12"/>
          <w:w w:val="90"/>
          <w:sz w:val="28"/>
        </w:rPr>
        <w:t> </w:t>
      </w:r>
      <w:r>
        <w:rPr>
          <w:rFonts w:ascii="Arial Black"/>
          <w:w w:val="90"/>
          <w:sz w:val="28"/>
        </w:rPr>
        <w:t>ABASTOS</w:t>
      </w:r>
      <w:r>
        <w:rPr>
          <w:rFonts w:ascii="Arial Black"/>
          <w:spacing w:val="-12"/>
          <w:w w:val="90"/>
          <w:sz w:val="28"/>
        </w:rPr>
        <w:t> </w:t>
      </w:r>
      <w:r>
        <w:rPr>
          <w:rFonts w:ascii="Arial Black"/>
          <w:w w:val="90"/>
          <w:sz w:val="28"/>
        </w:rPr>
        <w:t>LAS</w:t>
      </w:r>
      <w:r>
        <w:rPr>
          <w:rFonts w:ascii="Arial Black"/>
          <w:spacing w:val="-10"/>
          <w:w w:val="90"/>
          <w:sz w:val="28"/>
        </w:rPr>
        <w:t> </w:t>
      </w:r>
      <w:r>
        <w:rPr>
          <w:rFonts w:ascii="Arial Black"/>
          <w:w w:val="90"/>
          <w:sz w:val="28"/>
        </w:rPr>
        <w:t>MERCEDES</w:t>
      </w:r>
      <w:r>
        <w:rPr>
          <w:rFonts w:ascii="Arial Black"/>
          <w:spacing w:val="-12"/>
          <w:w w:val="90"/>
          <w:sz w:val="28"/>
        </w:rPr>
        <w:t> </w:t>
      </w:r>
      <w:r>
        <w:rPr>
          <w:rFonts w:ascii="Arial Black"/>
          <w:w w:val="90"/>
          <w:sz w:val="28"/>
        </w:rPr>
        <w:t>DE </w:t>
      </w:r>
      <w:r>
        <w:rPr>
          <w:rFonts w:ascii="Arial Black"/>
          <w:spacing w:val="-4"/>
          <w:sz w:val="28"/>
        </w:rPr>
        <w:t>JULIACA,</w:t>
      </w:r>
      <w:r>
        <w:rPr>
          <w:rFonts w:ascii="Arial Black"/>
          <w:spacing w:val="-20"/>
          <w:sz w:val="28"/>
        </w:rPr>
        <w:t> </w:t>
      </w:r>
      <w:r>
        <w:rPr>
          <w:rFonts w:ascii="Arial Black"/>
          <w:spacing w:val="-4"/>
          <w:sz w:val="28"/>
        </w:rPr>
        <w:t>2023</w:t>
      </w:r>
    </w:p>
    <w:p>
      <w:pPr>
        <w:pStyle w:val="Heading1"/>
        <w:spacing w:before="240"/>
        <w:ind w:left="140"/>
      </w:pPr>
      <w:r>
        <w:rPr/>
        <w:t>TESIS</w:t>
      </w:r>
      <w:r>
        <w:rPr>
          <w:spacing w:val="-7"/>
        </w:rPr>
        <w:t> </w:t>
      </w:r>
      <w:r>
        <w:rPr/>
        <w:t>PRESENTADA</w:t>
      </w:r>
      <w:r>
        <w:rPr>
          <w:spacing w:val="-7"/>
        </w:rPr>
        <w:t> </w:t>
      </w:r>
      <w:r>
        <w:rPr>
          <w:spacing w:val="-4"/>
        </w:rPr>
        <w:t>POR:</w:t>
      </w:r>
    </w:p>
    <w:p>
      <w:pPr>
        <w:spacing w:before="163"/>
        <w:ind w:left="138" w:right="138" w:firstLine="0"/>
        <w:jc w:val="center"/>
        <w:rPr>
          <w:rFonts w:ascii="Arial Black"/>
          <w:sz w:val="28"/>
        </w:rPr>
      </w:pPr>
      <w:r>
        <w:rPr>
          <w:rFonts w:ascii="Arial Black"/>
          <w:sz w:val="28"/>
        </w:rPr>
        <w:t>Bach.</w:t>
      </w:r>
      <w:r>
        <w:rPr>
          <w:rFonts w:ascii="Arial Black"/>
          <w:spacing w:val="-5"/>
          <w:sz w:val="28"/>
        </w:rPr>
        <w:t> </w:t>
      </w:r>
      <w:r>
        <w:rPr>
          <w:rFonts w:ascii="Arial Black"/>
          <w:sz w:val="28"/>
        </w:rPr>
        <w:t>AYDE</w:t>
      </w:r>
      <w:r>
        <w:rPr>
          <w:rFonts w:ascii="Arial Black"/>
          <w:spacing w:val="-3"/>
          <w:sz w:val="28"/>
        </w:rPr>
        <w:t> </w:t>
      </w:r>
      <w:r>
        <w:rPr>
          <w:rFonts w:ascii="Arial Black"/>
          <w:sz w:val="28"/>
        </w:rPr>
        <w:t>RUTH</w:t>
      </w:r>
      <w:r>
        <w:rPr>
          <w:rFonts w:ascii="Arial Black"/>
          <w:spacing w:val="-3"/>
          <w:sz w:val="28"/>
        </w:rPr>
        <w:t> </w:t>
      </w:r>
      <w:r>
        <w:rPr>
          <w:rFonts w:ascii="Arial Black"/>
          <w:sz w:val="28"/>
        </w:rPr>
        <w:t>QUISPE</w:t>
      </w:r>
      <w:r>
        <w:rPr>
          <w:rFonts w:ascii="Arial Black"/>
          <w:spacing w:val="-3"/>
          <w:sz w:val="28"/>
        </w:rPr>
        <w:t> </w:t>
      </w:r>
      <w:r>
        <w:rPr>
          <w:rFonts w:ascii="Arial Black"/>
          <w:spacing w:val="-2"/>
          <w:sz w:val="28"/>
        </w:rPr>
        <w:t>HUANCOLLO</w:t>
      </w:r>
    </w:p>
    <w:p>
      <w:pPr>
        <w:pStyle w:val="Heading1"/>
        <w:spacing w:line="360" w:lineRule="auto" w:before="299"/>
        <w:ind w:left="1144" w:right="1061" w:hanging="77"/>
      </w:pPr>
      <w:r>
        <w:rPr/>
        <w:t>PARA OPTAR EL TÍTULO PROFESIONAL DE: LICENCIADA</w:t>
      </w:r>
      <w:r>
        <w:rPr>
          <w:spacing w:val="-8"/>
        </w:rPr>
        <w:t> </w:t>
      </w:r>
      <w:r>
        <w:rPr/>
        <w:t>EN</w:t>
      </w:r>
      <w:r>
        <w:rPr>
          <w:spacing w:val="-9"/>
        </w:rPr>
        <w:t> </w:t>
      </w:r>
      <w:r>
        <w:rPr/>
        <w:t>ADMINISTRACIÓN</w:t>
      </w:r>
      <w:r>
        <w:rPr>
          <w:spacing w:val="-9"/>
        </w:rPr>
        <w:t> </w:t>
      </w:r>
      <w:r>
        <w:rPr/>
        <w:t>Y</w:t>
      </w:r>
      <w:r>
        <w:rPr>
          <w:spacing w:val="-9"/>
        </w:rPr>
        <w:t> </w:t>
      </w:r>
      <w:r>
        <w:rPr/>
        <w:t>NEGOCIOS </w:t>
      </w:r>
      <w:r>
        <w:rPr>
          <w:spacing w:val="-2"/>
        </w:rPr>
        <w:t>INTERNACIONALES</w:t>
      </w:r>
    </w:p>
    <w:p>
      <w:pPr>
        <w:spacing w:line="321" w:lineRule="exact" w:before="0"/>
        <w:ind w:left="138" w:right="138" w:firstLine="0"/>
        <w:jc w:val="center"/>
        <w:rPr>
          <w:rFonts w:ascii="Arial"/>
          <w:b/>
          <w:sz w:val="28"/>
        </w:rPr>
      </w:pPr>
      <w:r>
        <w:rPr>
          <w:rFonts w:ascii="Arial"/>
          <w:b/>
          <w:sz w:val="28"/>
        </w:rPr>
        <w:t>APROBADA</w:t>
      </w:r>
      <w:r>
        <w:rPr>
          <w:rFonts w:ascii="Arial"/>
          <w:b/>
          <w:spacing w:val="-8"/>
          <w:sz w:val="28"/>
        </w:rPr>
        <w:t> </w:t>
      </w:r>
      <w:r>
        <w:rPr>
          <w:rFonts w:ascii="Arial"/>
          <w:b/>
          <w:sz w:val="28"/>
        </w:rPr>
        <w:t>POR</w:t>
      </w:r>
      <w:r>
        <w:rPr>
          <w:rFonts w:ascii="Arial"/>
          <w:b/>
          <w:spacing w:val="-8"/>
          <w:sz w:val="28"/>
        </w:rPr>
        <w:t> </w:t>
      </w:r>
      <w:r>
        <w:rPr>
          <w:rFonts w:ascii="Arial"/>
          <w:b/>
          <w:sz w:val="28"/>
        </w:rPr>
        <w:t>EL</w:t>
      </w:r>
      <w:r>
        <w:rPr>
          <w:rFonts w:ascii="Arial"/>
          <w:b/>
          <w:spacing w:val="-8"/>
          <w:sz w:val="28"/>
        </w:rPr>
        <w:t> </w:t>
      </w:r>
      <w:r>
        <w:rPr>
          <w:rFonts w:ascii="Arial"/>
          <w:b/>
          <w:sz w:val="28"/>
        </w:rPr>
        <w:t>JURADO</w:t>
      </w:r>
      <w:r>
        <w:rPr>
          <w:rFonts w:ascii="Arial"/>
          <w:b/>
          <w:spacing w:val="-8"/>
          <w:sz w:val="28"/>
        </w:rPr>
        <w:t> </w:t>
      </w:r>
      <w:r>
        <w:rPr>
          <w:rFonts w:ascii="Arial"/>
          <w:b/>
          <w:spacing w:val="-2"/>
          <w:sz w:val="28"/>
        </w:rPr>
        <w:t>REVISOR:</w:t>
      </w:r>
    </w:p>
    <w:p>
      <w:pPr>
        <w:pStyle w:val="BodyText"/>
        <w:rPr>
          <w:rFonts w:ascii="Arial"/>
          <w:b/>
          <w:sz w:val="28"/>
        </w:rPr>
      </w:pPr>
    </w:p>
    <w:p>
      <w:pPr>
        <w:pStyle w:val="BodyText"/>
        <w:rPr>
          <w:rFonts w:ascii="Arial"/>
          <w:b/>
          <w:sz w:val="28"/>
        </w:rPr>
      </w:pPr>
    </w:p>
    <w:p>
      <w:pPr>
        <w:pStyle w:val="BodyText"/>
        <w:spacing w:before="161"/>
        <w:rPr>
          <w:rFonts w:ascii="Arial"/>
          <w:b/>
          <w:sz w:val="28"/>
        </w:rPr>
      </w:pPr>
    </w:p>
    <w:p>
      <w:pPr>
        <w:pStyle w:val="Heading2"/>
        <w:tabs>
          <w:tab w:pos="2835" w:val="left" w:leader="none"/>
          <w:tab w:pos="8781" w:val="left" w:leader="none"/>
        </w:tabs>
        <w:ind w:left="0"/>
        <w:rPr>
          <w:rFonts w:ascii="Arial"/>
        </w:rPr>
      </w:pPr>
      <w:r>
        <w:rPr>
          <w:rFonts w:ascii="Arial"/>
          <w:spacing w:val="-2"/>
        </w:rPr>
        <w:t>PRESIDENTE</w:t>
      </w:r>
      <w:r>
        <w:rPr>
          <w:rFonts w:ascii="Arial"/>
        </w:rPr>
        <w:tab/>
        <w:t>: </w:t>
      </w:r>
      <w:r>
        <w:rPr>
          <w:rFonts w:ascii="Arial"/>
          <w:u w:val="single"/>
        </w:rPr>
        <w:tab/>
      </w:r>
    </w:p>
    <w:p>
      <w:pPr>
        <w:pStyle w:val="BodyText"/>
        <w:ind w:left="2980"/>
        <w:rPr>
          <w:rFonts w:ascii="Arial MT"/>
        </w:rPr>
      </w:pPr>
      <w:r>
        <w:rPr>
          <w:rFonts w:ascii="Arial MT"/>
        </w:rPr>
        <w:t>Dr.</w:t>
      </w:r>
      <w:r>
        <w:rPr>
          <w:rFonts w:ascii="Arial MT"/>
          <w:spacing w:val="-5"/>
        </w:rPr>
        <w:t> </w:t>
      </w:r>
      <w:r>
        <w:rPr>
          <w:rFonts w:ascii="Arial MT"/>
        </w:rPr>
        <w:t>BENIGNO</w:t>
      </w:r>
      <w:r>
        <w:rPr>
          <w:rFonts w:ascii="Arial MT"/>
          <w:spacing w:val="-4"/>
        </w:rPr>
        <w:t> </w:t>
      </w:r>
      <w:r>
        <w:rPr>
          <w:rFonts w:ascii="Arial MT"/>
        </w:rPr>
        <w:t>CALLATA</w:t>
      </w:r>
      <w:r>
        <w:rPr>
          <w:rFonts w:ascii="Arial MT"/>
          <w:spacing w:val="-4"/>
        </w:rPr>
        <w:t> </w:t>
      </w:r>
      <w:r>
        <w:rPr>
          <w:rFonts w:ascii="Arial MT"/>
          <w:spacing w:val="-2"/>
        </w:rPr>
        <w:t>QUISPE</w:t>
      </w:r>
    </w:p>
    <w:p>
      <w:pPr>
        <w:pStyle w:val="BodyText"/>
        <w:rPr>
          <w:rFonts w:ascii="Arial MT"/>
        </w:rPr>
      </w:pPr>
    </w:p>
    <w:p>
      <w:pPr>
        <w:pStyle w:val="BodyText"/>
        <w:spacing w:before="231"/>
        <w:rPr>
          <w:rFonts w:ascii="Arial MT"/>
        </w:rPr>
      </w:pPr>
    </w:p>
    <w:p>
      <w:pPr>
        <w:pStyle w:val="Heading2"/>
        <w:tabs>
          <w:tab w:pos="2835" w:val="left" w:leader="none"/>
          <w:tab w:pos="8781" w:val="left" w:leader="none"/>
        </w:tabs>
        <w:ind w:left="0"/>
        <w:rPr>
          <w:rFonts w:ascii="Arial"/>
        </w:rPr>
      </w:pPr>
      <w:r>
        <w:rPr>
          <w:rFonts w:ascii="Arial"/>
        </w:rPr>
        <w:t>PRIMER</w:t>
      </w:r>
      <w:r>
        <w:rPr>
          <w:rFonts w:ascii="Arial"/>
          <w:spacing w:val="-12"/>
        </w:rPr>
        <w:t> </w:t>
      </w:r>
      <w:r>
        <w:rPr>
          <w:rFonts w:ascii="Arial"/>
          <w:spacing w:val="-2"/>
        </w:rPr>
        <w:t>MIEMBRO</w:t>
      </w:r>
      <w:r>
        <w:rPr>
          <w:rFonts w:ascii="Arial"/>
        </w:rPr>
        <w:tab/>
        <w:t>: </w:t>
      </w:r>
      <w:r>
        <w:rPr>
          <w:rFonts w:ascii="Arial"/>
          <w:u w:val="single"/>
        </w:rPr>
        <w:tab/>
      </w:r>
    </w:p>
    <w:p>
      <w:pPr>
        <w:pStyle w:val="BodyText"/>
        <w:ind w:left="2980"/>
        <w:rPr>
          <w:rFonts w:ascii="Arial MT" w:hAnsi="Arial MT"/>
        </w:rPr>
      </w:pPr>
      <w:r>
        <w:rPr>
          <w:rFonts w:ascii="Arial MT" w:hAnsi="Arial MT"/>
        </w:rPr>
        <w:t>Dr.</w:t>
      </w:r>
      <w:r>
        <w:rPr>
          <w:rFonts w:ascii="Arial MT" w:hAnsi="Arial MT"/>
          <w:spacing w:val="-3"/>
        </w:rPr>
        <w:t> </w:t>
      </w:r>
      <w:r>
        <w:rPr>
          <w:rFonts w:ascii="Arial MT" w:hAnsi="Arial MT"/>
        </w:rPr>
        <w:t>ROBERTO</w:t>
      </w:r>
      <w:r>
        <w:rPr>
          <w:rFonts w:ascii="Arial MT" w:hAnsi="Arial MT"/>
          <w:spacing w:val="-2"/>
        </w:rPr>
        <w:t> </w:t>
      </w:r>
      <w:r>
        <w:rPr>
          <w:rFonts w:ascii="Arial MT" w:hAnsi="Arial MT"/>
        </w:rPr>
        <w:t>PAYÉ</w:t>
      </w:r>
      <w:r>
        <w:rPr>
          <w:rFonts w:ascii="Arial MT" w:hAnsi="Arial MT"/>
          <w:spacing w:val="-2"/>
        </w:rPr>
        <w:t> COLQUEHUANCA</w:t>
      </w:r>
    </w:p>
    <w:p>
      <w:pPr>
        <w:pStyle w:val="BodyText"/>
        <w:rPr>
          <w:rFonts w:ascii="Arial MT"/>
        </w:rPr>
      </w:pPr>
    </w:p>
    <w:p>
      <w:pPr>
        <w:pStyle w:val="BodyText"/>
        <w:rPr>
          <w:rFonts w:ascii="Arial MT"/>
        </w:rPr>
      </w:pPr>
    </w:p>
    <w:p>
      <w:pPr>
        <w:pStyle w:val="BodyText"/>
        <w:rPr>
          <w:rFonts w:ascii="Arial MT"/>
        </w:rPr>
      </w:pPr>
    </w:p>
    <w:p>
      <w:pPr>
        <w:pStyle w:val="Heading2"/>
        <w:tabs>
          <w:tab w:pos="2835" w:val="left" w:leader="none"/>
          <w:tab w:pos="8781" w:val="left" w:leader="none"/>
        </w:tabs>
        <w:ind w:left="0"/>
        <w:rPr>
          <w:rFonts w:ascii="Arial"/>
        </w:rPr>
      </w:pPr>
      <w:r>
        <w:rPr>
          <w:rFonts w:ascii="Arial"/>
        </w:rPr>
        <w:t>SEGUNDO</w:t>
      </w:r>
      <w:r>
        <w:rPr>
          <w:rFonts w:ascii="Arial"/>
          <w:spacing w:val="-5"/>
        </w:rPr>
        <w:t> </w:t>
      </w:r>
      <w:r>
        <w:rPr>
          <w:rFonts w:ascii="Arial"/>
          <w:spacing w:val="-2"/>
        </w:rPr>
        <w:t>MIEMBRO</w:t>
      </w:r>
      <w:r>
        <w:rPr>
          <w:rFonts w:ascii="Arial"/>
        </w:rPr>
        <w:tab/>
        <w:t>: </w:t>
      </w:r>
      <w:r>
        <w:rPr>
          <w:rFonts w:ascii="Arial"/>
          <w:u w:val="single"/>
        </w:rPr>
        <w:tab/>
      </w:r>
    </w:p>
    <w:p>
      <w:pPr>
        <w:pStyle w:val="BodyText"/>
        <w:ind w:left="2980"/>
        <w:rPr>
          <w:rFonts w:ascii="Arial MT"/>
        </w:rPr>
      </w:pPr>
      <w:r>
        <w:rPr>
          <w:rFonts w:ascii="Arial MT"/>
        </w:rPr>
        <w:t>Dra.</w:t>
      </w:r>
      <w:r>
        <w:rPr>
          <w:rFonts w:ascii="Arial MT"/>
          <w:spacing w:val="-5"/>
        </w:rPr>
        <w:t> </w:t>
      </w:r>
      <w:r>
        <w:rPr>
          <w:rFonts w:ascii="Arial MT"/>
        </w:rPr>
        <w:t>YENNY</w:t>
      </w:r>
      <w:r>
        <w:rPr>
          <w:rFonts w:ascii="Arial MT"/>
          <w:spacing w:val="-5"/>
        </w:rPr>
        <w:t> </w:t>
      </w:r>
      <w:r>
        <w:rPr>
          <w:rFonts w:ascii="Arial MT"/>
        </w:rPr>
        <w:t>ROSARIO</w:t>
      </w:r>
      <w:r>
        <w:rPr>
          <w:rFonts w:ascii="Arial MT"/>
          <w:spacing w:val="-4"/>
        </w:rPr>
        <w:t> </w:t>
      </w:r>
      <w:r>
        <w:rPr>
          <w:rFonts w:ascii="Arial MT"/>
        </w:rPr>
        <w:t>ACERO</w:t>
      </w:r>
      <w:r>
        <w:rPr>
          <w:rFonts w:ascii="Arial MT"/>
          <w:spacing w:val="-5"/>
        </w:rPr>
        <w:t> </w:t>
      </w:r>
      <w:r>
        <w:rPr>
          <w:rFonts w:ascii="Arial MT"/>
          <w:spacing w:val="-4"/>
        </w:rPr>
        <w:t>APAZA</w:t>
      </w:r>
    </w:p>
    <w:p>
      <w:pPr>
        <w:pStyle w:val="BodyText"/>
        <w:rPr>
          <w:rFonts w:ascii="Arial MT"/>
        </w:rPr>
      </w:pPr>
    </w:p>
    <w:p>
      <w:pPr>
        <w:pStyle w:val="BodyText"/>
        <w:rPr>
          <w:rFonts w:ascii="Arial MT"/>
        </w:rPr>
      </w:pPr>
    </w:p>
    <w:p>
      <w:pPr>
        <w:pStyle w:val="BodyText"/>
        <w:rPr>
          <w:rFonts w:ascii="Arial MT"/>
        </w:rPr>
      </w:pPr>
    </w:p>
    <w:p>
      <w:pPr>
        <w:pStyle w:val="Heading2"/>
        <w:tabs>
          <w:tab w:pos="2835" w:val="left" w:leader="none"/>
          <w:tab w:pos="8781" w:val="left" w:leader="none"/>
        </w:tabs>
        <w:ind w:left="0"/>
        <w:rPr>
          <w:rFonts w:ascii="Arial"/>
        </w:rPr>
      </w:pPr>
      <w:r>
        <w:rPr>
          <w:rFonts w:ascii="Arial"/>
        </w:rPr>
        <w:t>ASESOR</w:t>
      </w:r>
      <w:r>
        <w:rPr>
          <w:rFonts w:ascii="Arial"/>
          <w:spacing w:val="-8"/>
        </w:rPr>
        <w:t> </w:t>
      </w:r>
      <w:r>
        <w:rPr>
          <w:rFonts w:ascii="Arial"/>
        </w:rPr>
        <w:t>DE</w:t>
      </w:r>
      <w:r>
        <w:rPr>
          <w:rFonts w:ascii="Arial"/>
          <w:spacing w:val="-7"/>
        </w:rPr>
        <w:t> </w:t>
      </w:r>
      <w:r>
        <w:rPr>
          <w:rFonts w:ascii="Arial"/>
          <w:spacing w:val="-4"/>
        </w:rPr>
        <w:t>TESIS</w:t>
      </w:r>
      <w:r>
        <w:rPr>
          <w:rFonts w:ascii="Arial"/>
        </w:rPr>
        <w:tab/>
        <w:t>: </w:t>
      </w:r>
      <w:r>
        <w:rPr>
          <w:rFonts w:ascii="Arial"/>
          <w:u w:val="single"/>
        </w:rPr>
        <w:tab/>
      </w:r>
    </w:p>
    <w:p>
      <w:pPr>
        <w:pStyle w:val="BodyText"/>
        <w:ind w:left="2980"/>
        <w:rPr>
          <w:rFonts w:ascii="Arial MT"/>
        </w:rPr>
      </w:pPr>
      <w:r>
        <w:rPr>
          <w:rFonts w:ascii="Arial MT"/>
        </w:rPr>
        <w:t>Dr.</w:t>
      </w:r>
      <w:r>
        <w:rPr>
          <w:rFonts w:ascii="Arial MT"/>
          <w:spacing w:val="-7"/>
        </w:rPr>
        <w:t> </w:t>
      </w:r>
      <w:r>
        <w:rPr>
          <w:rFonts w:ascii="Arial MT"/>
        </w:rPr>
        <w:t>APOLINAR</w:t>
      </w:r>
      <w:r>
        <w:rPr>
          <w:rFonts w:ascii="Arial MT"/>
          <w:spacing w:val="-3"/>
        </w:rPr>
        <w:t> </w:t>
      </w:r>
      <w:r>
        <w:rPr>
          <w:rFonts w:ascii="Arial MT"/>
        </w:rPr>
        <w:t>FLOREZ</w:t>
      </w:r>
      <w:r>
        <w:rPr>
          <w:rFonts w:ascii="Arial MT"/>
          <w:spacing w:val="-4"/>
        </w:rPr>
        <w:t> </w:t>
      </w:r>
      <w:r>
        <w:rPr>
          <w:rFonts w:ascii="Arial MT"/>
          <w:spacing w:val="-2"/>
        </w:rPr>
        <w:t>LUCANA</w:t>
      </w:r>
    </w:p>
    <w:p>
      <w:pPr>
        <w:pStyle w:val="BodyText"/>
        <w:spacing w:after="0"/>
        <w:rPr>
          <w:rFonts w:ascii="Arial MT"/>
        </w:rPr>
        <w:sectPr>
          <w:pgSz w:w="11910" w:h="16840"/>
          <w:pgMar w:top="1740" w:bottom="280" w:left="1700" w:right="1417"/>
        </w:sectPr>
      </w:pPr>
    </w:p>
    <w:p>
      <w:pPr>
        <w:tabs>
          <w:tab w:pos="2834" w:val="left" w:leader="none"/>
        </w:tabs>
        <w:spacing w:before="80"/>
        <w:ind w:left="2" w:right="0" w:firstLine="0"/>
        <w:jc w:val="left"/>
        <w:rPr>
          <w:rFonts w:ascii="Arial MT" w:hAnsi="Arial MT"/>
          <w:sz w:val="18"/>
        </w:rPr>
      </w:pPr>
      <w:r>
        <w:rPr>
          <w:rFonts w:ascii="Arial MT" w:hAnsi="Arial MT"/>
          <w:sz w:val="18"/>
        </w:rPr>
        <mc:AlternateContent>
          <mc:Choice Requires="wps">
            <w:drawing>
              <wp:anchor distT="0" distB="0" distL="0" distR="0" allowOverlap="1" layoutInCell="1" locked="0" behindDoc="0" simplePos="0" relativeHeight="15730688">
                <wp:simplePos x="0" y="0"/>
                <wp:positionH relativeFrom="page">
                  <wp:posOffset>0</wp:posOffset>
                </wp:positionH>
                <wp:positionV relativeFrom="page">
                  <wp:posOffset>0</wp:posOffset>
                </wp:positionV>
                <wp:extent cx="7559040" cy="10692130"/>
                <wp:effectExtent l="0" t="0" r="0" b="0"/>
                <wp:wrapNone/>
                <wp:docPr id="8" name="Group 8"/>
                <wp:cNvGraphicFramePr>
                  <a:graphicFrameLocks/>
                </wp:cNvGraphicFramePr>
                <a:graphic>
                  <a:graphicData uri="http://schemas.microsoft.com/office/word/2010/wordprocessingGroup">
                    <wpg:wgp>
                      <wpg:cNvPr id="8" name="Group 8"/>
                      <wpg:cNvGrpSpPr/>
                      <wpg:grpSpPr>
                        <a:xfrm>
                          <a:off x="0" y="0"/>
                          <a:ext cx="7559040" cy="10692130"/>
                          <a:chExt cx="7559040" cy="10692130"/>
                        </a:xfrm>
                      </wpg:grpSpPr>
                      <pic:pic>
                        <pic:nvPicPr>
                          <pic:cNvPr id="9" name="Image 9" descr="Texto, Carta  Descripción generada automáticamente"/>
                          <pic:cNvPicPr/>
                        </pic:nvPicPr>
                        <pic:blipFill>
                          <a:blip r:embed="rId9" cstate="print"/>
                          <a:stretch>
                            <a:fillRect/>
                          </a:stretch>
                        </pic:blipFill>
                        <pic:spPr>
                          <a:xfrm>
                            <a:off x="13336" y="33014"/>
                            <a:ext cx="7486523" cy="10657838"/>
                          </a:xfrm>
                          <a:prstGeom prst="rect">
                            <a:avLst/>
                          </a:prstGeom>
                        </pic:spPr>
                      </pic:pic>
                      <pic:pic>
                        <pic:nvPicPr>
                          <pic:cNvPr id="10" name="Image 10"/>
                          <pic:cNvPicPr/>
                        </pic:nvPicPr>
                        <pic:blipFill>
                          <a:blip r:embed="rId5" cstate="print"/>
                          <a:stretch>
                            <a:fillRect/>
                          </a:stretch>
                        </pic:blipFill>
                        <pic:spPr>
                          <a:xfrm>
                            <a:off x="0" y="0"/>
                            <a:ext cx="7559040" cy="858265"/>
                          </a:xfrm>
                          <a:prstGeom prst="rect">
                            <a:avLst/>
                          </a:prstGeom>
                        </pic:spPr>
                      </pic:pic>
                      <pic:pic>
                        <pic:nvPicPr>
                          <pic:cNvPr id="11" name="Image 11"/>
                          <pic:cNvPicPr/>
                        </pic:nvPicPr>
                        <pic:blipFill>
                          <a:blip r:embed="rId6" cstate="print"/>
                          <a:stretch>
                            <a:fillRect/>
                          </a:stretch>
                        </pic:blipFill>
                        <pic:spPr>
                          <a:xfrm>
                            <a:off x="0" y="10125202"/>
                            <a:ext cx="7559040" cy="566928"/>
                          </a:xfrm>
                          <a:prstGeom prst="rect">
                            <a:avLst/>
                          </a:prstGeom>
                        </pic:spPr>
                      </pic:pic>
                    </wpg:wgp>
                  </a:graphicData>
                </a:graphic>
              </wp:anchor>
            </w:drawing>
          </mc:Choice>
          <mc:Fallback>
            <w:pict>
              <v:group style="position:absolute;margin-left:0pt;margin-top:.000024pt;width:595.2pt;height:841.9pt;mso-position-horizontal-relative:page;mso-position-vertical-relative:page;z-index:15730688" id="docshapegroup5" coordorigin="0,0" coordsize="11904,16838">
                <v:shape style="position:absolute;left:21;top:52;width:11790;height:16784" type="#_x0000_t75" id="docshape6" alt="Texto, Carta  Descripción generada automáticamente" stroked="false">
                  <v:imagedata r:id="rId9" o:title=""/>
                </v:shape>
                <v:shape style="position:absolute;left:0;top:0;width:11904;height:1352" type="#_x0000_t75" id="docshape7" stroked="false">
                  <v:imagedata r:id="rId5" o:title=""/>
                </v:shape>
                <v:shape style="position:absolute;left:0;top:15945;width:11904;height:893" type="#_x0000_t75" id="docshape8" stroked="false">
                  <v:imagedata r:id="rId6" o:title=""/>
                </v:shape>
                <w10:wrap type="none"/>
              </v:group>
            </w:pict>
          </mc:Fallback>
        </mc:AlternateContent>
      </w:r>
      <w:r>
        <w:rPr>
          <w:rFonts w:ascii="Arial" w:hAnsi="Arial"/>
          <w:b/>
          <w:sz w:val="20"/>
        </w:rPr>
        <w:t>LÍNEA</w:t>
      </w:r>
      <w:r>
        <w:rPr>
          <w:rFonts w:ascii="Arial" w:hAnsi="Arial"/>
          <w:b/>
          <w:spacing w:val="-2"/>
          <w:sz w:val="20"/>
        </w:rPr>
        <w:t> </w:t>
      </w:r>
      <w:r>
        <w:rPr>
          <w:rFonts w:ascii="Arial" w:hAnsi="Arial"/>
          <w:b/>
          <w:sz w:val="20"/>
        </w:rPr>
        <w:t>DE</w:t>
      </w:r>
      <w:r>
        <w:rPr>
          <w:rFonts w:ascii="Arial" w:hAnsi="Arial"/>
          <w:b/>
          <w:spacing w:val="-1"/>
          <w:sz w:val="20"/>
        </w:rPr>
        <w:t> </w:t>
      </w:r>
      <w:r>
        <w:rPr>
          <w:rFonts w:ascii="Arial" w:hAnsi="Arial"/>
          <w:b/>
          <w:spacing w:val="-2"/>
          <w:sz w:val="20"/>
        </w:rPr>
        <w:t>INVESTIGACIÓN</w:t>
      </w:r>
      <w:r>
        <w:rPr>
          <w:rFonts w:ascii="Arial" w:hAnsi="Arial"/>
          <w:b/>
          <w:sz w:val="20"/>
        </w:rPr>
        <w:tab/>
      </w:r>
      <w:r>
        <w:rPr>
          <w:spacing w:val="-6"/>
          <w:sz w:val="20"/>
        </w:rPr>
        <w:t>:</w:t>
      </w:r>
      <w:r>
        <w:rPr>
          <w:spacing w:val="-7"/>
          <w:sz w:val="20"/>
        </w:rPr>
        <w:t> </w:t>
      </w:r>
      <w:r>
        <w:rPr>
          <w:rFonts w:ascii="Arial MT" w:hAnsi="Arial MT"/>
          <w:spacing w:val="-6"/>
          <w:sz w:val="20"/>
        </w:rPr>
        <w:t>ORGANIZACIÓN</w:t>
      </w:r>
      <w:r>
        <w:rPr>
          <w:rFonts w:ascii="Arial MT" w:hAnsi="Arial MT"/>
          <w:spacing w:val="-8"/>
          <w:sz w:val="20"/>
        </w:rPr>
        <w:t> </w:t>
      </w:r>
      <w:r>
        <w:rPr>
          <w:rFonts w:ascii="Arial MT" w:hAnsi="Arial MT"/>
          <w:spacing w:val="-6"/>
          <w:sz w:val="20"/>
        </w:rPr>
        <w:t>Y</w:t>
      </w:r>
      <w:r>
        <w:rPr>
          <w:rFonts w:ascii="Arial MT" w:hAnsi="Arial MT"/>
          <w:spacing w:val="-8"/>
          <w:sz w:val="20"/>
        </w:rPr>
        <w:t> </w:t>
      </w:r>
      <w:r>
        <w:rPr>
          <w:rFonts w:ascii="Arial MT" w:hAnsi="Arial MT"/>
          <w:spacing w:val="-6"/>
          <w:sz w:val="20"/>
        </w:rPr>
        <w:t>DIRECCIÓN</w:t>
      </w:r>
      <w:r>
        <w:rPr>
          <w:rFonts w:ascii="Arial MT" w:hAnsi="Arial MT"/>
          <w:spacing w:val="-8"/>
          <w:sz w:val="20"/>
        </w:rPr>
        <w:t> </w:t>
      </w:r>
      <w:r>
        <w:rPr>
          <w:rFonts w:ascii="Arial MT" w:hAnsi="Arial MT"/>
          <w:spacing w:val="-6"/>
          <w:sz w:val="20"/>
        </w:rPr>
        <w:t>DE</w:t>
      </w:r>
      <w:r>
        <w:rPr>
          <w:rFonts w:ascii="Arial MT" w:hAnsi="Arial MT"/>
          <w:spacing w:val="-8"/>
          <w:sz w:val="20"/>
        </w:rPr>
        <w:t> </w:t>
      </w:r>
      <w:r>
        <w:rPr>
          <w:rFonts w:ascii="Arial MT" w:hAnsi="Arial MT"/>
          <w:spacing w:val="-6"/>
          <w:sz w:val="20"/>
        </w:rPr>
        <w:t>EMPRES</w:t>
      </w:r>
      <w:r>
        <w:rPr>
          <w:rFonts w:ascii="Arial MT" w:hAnsi="Arial MT"/>
          <w:spacing w:val="-4"/>
          <w:sz w:val="20"/>
        </w:rPr>
        <w:t> </w:t>
      </w:r>
      <w:r>
        <w:rPr>
          <w:rFonts w:ascii="Arial MT" w:hAnsi="Arial MT"/>
          <w:spacing w:val="-6"/>
          <w:sz w:val="20"/>
        </w:rPr>
        <w:t>AS</w:t>
      </w:r>
      <w:r>
        <w:rPr>
          <w:rFonts w:ascii="Arial MT" w:hAnsi="Arial MT"/>
          <w:spacing w:val="-8"/>
          <w:sz w:val="20"/>
        </w:rPr>
        <w:t> </w:t>
      </w:r>
      <w:r>
        <w:rPr>
          <w:rFonts w:ascii="Arial MT" w:hAnsi="Arial MT"/>
          <w:spacing w:val="-6"/>
          <w:sz w:val="20"/>
        </w:rPr>
        <w:t>(5311-UNESCO</w:t>
      </w:r>
      <w:r>
        <w:rPr>
          <w:rFonts w:ascii="Arial MT" w:hAnsi="Arial MT"/>
          <w:spacing w:val="-6"/>
          <w:sz w:val="18"/>
        </w:rPr>
        <w:t>)</w:t>
      </w:r>
    </w:p>
    <w:p>
      <w:pPr>
        <w:spacing w:after="0"/>
        <w:jc w:val="left"/>
        <w:rPr>
          <w:rFonts w:ascii="Arial MT" w:hAnsi="Arial MT"/>
          <w:sz w:val="18"/>
        </w:rPr>
        <w:sectPr>
          <w:pgSz w:w="11910" w:h="16840"/>
          <w:pgMar w:top="1320" w:bottom="280" w:left="1700" w:right="1417"/>
        </w:sectPr>
      </w:pPr>
    </w:p>
    <w:p>
      <w:pPr>
        <w:pStyle w:val="BodyText"/>
        <w:spacing w:before="4"/>
        <w:rPr>
          <w:rFonts w:ascii="Arial MT"/>
          <w:sz w:val="17"/>
        </w:rPr>
      </w:pPr>
      <w:r>
        <w:rPr>
          <w:rFonts w:ascii="Arial MT"/>
          <w:sz w:val="17"/>
        </w:rPr>
        <mc:AlternateContent>
          <mc:Choice Requires="wps">
            <w:drawing>
              <wp:anchor distT="0" distB="0" distL="0" distR="0" allowOverlap="1" layoutInCell="1" locked="0" behindDoc="0" simplePos="0" relativeHeight="15731200">
                <wp:simplePos x="0" y="0"/>
                <wp:positionH relativeFrom="page">
                  <wp:posOffset>0</wp:posOffset>
                </wp:positionH>
                <wp:positionV relativeFrom="page">
                  <wp:posOffset>0</wp:posOffset>
                </wp:positionV>
                <wp:extent cx="7559040" cy="10692130"/>
                <wp:effectExtent l="0" t="0" r="0" b="0"/>
                <wp:wrapNone/>
                <wp:docPr id="12" name="Group 12"/>
                <wp:cNvGraphicFramePr>
                  <a:graphicFrameLocks/>
                </wp:cNvGraphicFramePr>
                <a:graphic>
                  <a:graphicData uri="http://schemas.microsoft.com/office/word/2010/wordprocessingGroup">
                    <wpg:wgp>
                      <wpg:cNvPr id="12" name="Group 12"/>
                      <wpg:cNvGrpSpPr/>
                      <wpg:grpSpPr>
                        <a:xfrm>
                          <a:off x="0" y="0"/>
                          <a:ext cx="7559040" cy="10692130"/>
                          <a:chExt cx="7559040" cy="10692130"/>
                        </a:xfrm>
                      </wpg:grpSpPr>
                      <pic:pic>
                        <pic:nvPicPr>
                          <pic:cNvPr id="13" name="Image 13" descr="Texto, Carta  Descripción generada automáticamente"/>
                          <pic:cNvPicPr/>
                        </pic:nvPicPr>
                        <pic:blipFill>
                          <a:blip r:embed="rId10" cstate="print"/>
                          <a:stretch>
                            <a:fillRect/>
                          </a:stretch>
                        </pic:blipFill>
                        <pic:spPr>
                          <a:xfrm>
                            <a:off x="143659" y="23489"/>
                            <a:ext cx="7349341" cy="10668000"/>
                          </a:xfrm>
                          <a:prstGeom prst="rect">
                            <a:avLst/>
                          </a:prstGeom>
                        </pic:spPr>
                      </pic:pic>
                      <pic:pic>
                        <pic:nvPicPr>
                          <pic:cNvPr id="14" name="Image 14"/>
                          <pic:cNvPicPr/>
                        </pic:nvPicPr>
                        <pic:blipFill>
                          <a:blip r:embed="rId5" cstate="print"/>
                          <a:stretch>
                            <a:fillRect/>
                          </a:stretch>
                        </pic:blipFill>
                        <pic:spPr>
                          <a:xfrm>
                            <a:off x="0" y="0"/>
                            <a:ext cx="7559040" cy="858265"/>
                          </a:xfrm>
                          <a:prstGeom prst="rect">
                            <a:avLst/>
                          </a:prstGeom>
                        </pic:spPr>
                      </pic:pic>
                      <pic:pic>
                        <pic:nvPicPr>
                          <pic:cNvPr id="15" name="Image 15"/>
                          <pic:cNvPicPr/>
                        </pic:nvPicPr>
                        <pic:blipFill>
                          <a:blip r:embed="rId6" cstate="print"/>
                          <a:stretch>
                            <a:fillRect/>
                          </a:stretch>
                        </pic:blipFill>
                        <pic:spPr>
                          <a:xfrm>
                            <a:off x="0" y="10125202"/>
                            <a:ext cx="7559040" cy="566928"/>
                          </a:xfrm>
                          <a:prstGeom prst="rect">
                            <a:avLst/>
                          </a:prstGeom>
                        </pic:spPr>
                      </pic:pic>
                    </wpg:wgp>
                  </a:graphicData>
                </a:graphic>
              </wp:anchor>
            </w:drawing>
          </mc:Choice>
          <mc:Fallback>
            <w:pict>
              <v:group style="position:absolute;margin-left:0pt;margin-top:.000024pt;width:595.2pt;height:841.9pt;mso-position-horizontal-relative:page;mso-position-vertical-relative:page;z-index:15731200" id="docshapegroup9" coordorigin="0,0" coordsize="11904,16838">
                <v:shape style="position:absolute;left:226;top:37;width:11574;height:16800" type="#_x0000_t75" id="docshape10" alt="Texto, Carta  Descripción generada automáticamente" stroked="false">
                  <v:imagedata r:id="rId10" o:title=""/>
                </v:shape>
                <v:shape style="position:absolute;left:0;top:0;width:11904;height:1352" type="#_x0000_t75" id="docshape11" stroked="false">
                  <v:imagedata r:id="rId5" o:title=""/>
                </v:shape>
                <v:shape style="position:absolute;left:0;top:15945;width:11904;height:893" type="#_x0000_t75" id="docshape12" stroked="false">
                  <v:imagedata r:id="rId6" o:title=""/>
                </v:shape>
                <w10:wrap type="none"/>
              </v:group>
            </w:pict>
          </mc:Fallback>
        </mc:AlternateContent>
      </w:r>
    </w:p>
    <w:p>
      <w:pPr>
        <w:pStyle w:val="BodyText"/>
        <w:spacing w:after="0"/>
        <w:rPr>
          <w:rFonts w:ascii="Arial MT"/>
          <w:sz w:val="17"/>
        </w:rPr>
        <w:sectPr>
          <w:pgSz w:w="11910" w:h="16840"/>
          <w:pgMar w:top="1920" w:bottom="280" w:left="1700" w:right="1417"/>
        </w:sectPr>
      </w:pPr>
    </w:p>
    <w:p>
      <w:pPr>
        <w:pStyle w:val="BodyText"/>
        <w:spacing w:before="4"/>
        <w:rPr>
          <w:rFonts w:ascii="Arial MT"/>
          <w:sz w:val="17"/>
        </w:rPr>
      </w:pPr>
      <w:r>
        <w:rPr>
          <w:rFonts w:ascii="Arial MT"/>
          <w:sz w:val="17"/>
        </w:rPr>
        <mc:AlternateContent>
          <mc:Choice Requires="wps">
            <w:drawing>
              <wp:anchor distT="0" distB="0" distL="0" distR="0" allowOverlap="1" layoutInCell="1" locked="0" behindDoc="0" simplePos="0" relativeHeight="15731712">
                <wp:simplePos x="0" y="0"/>
                <wp:positionH relativeFrom="page">
                  <wp:posOffset>0</wp:posOffset>
                </wp:positionH>
                <wp:positionV relativeFrom="page">
                  <wp:posOffset>0</wp:posOffset>
                </wp:positionV>
                <wp:extent cx="7559040" cy="10692130"/>
                <wp:effectExtent l="0" t="0" r="0" b="0"/>
                <wp:wrapNone/>
                <wp:docPr id="16" name="Group 16"/>
                <wp:cNvGraphicFramePr>
                  <a:graphicFrameLocks/>
                </wp:cNvGraphicFramePr>
                <a:graphic>
                  <a:graphicData uri="http://schemas.microsoft.com/office/word/2010/wordprocessingGroup">
                    <wpg:wgp>
                      <wpg:cNvPr id="16" name="Group 16"/>
                      <wpg:cNvGrpSpPr/>
                      <wpg:grpSpPr>
                        <a:xfrm>
                          <a:off x="0" y="0"/>
                          <a:ext cx="7559040" cy="10692130"/>
                          <a:chExt cx="7559040" cy="10692130"/>
                        </a:xfrm>
                      </wpg:grpSpPr>
                      <pic:pic>
                        <pic:nvPicPr>
                          <pic:cNvPr id="17" name="Image 17" descr="Texto, Carta  Descripción generada automáticamente"/>
                          <pic:cNvPicPr/>
                        </pic:nvPicPr>
                        <pic:blipFill>
                          <a:blip r:embed="rId11" cstate="print"/>
                          <a:stretch>
                            <a:fillRect/>
                          </a:stretch>
                        </pic:blipFill>
                        <pic:spPr>
                          <a:xfrm>
                            <a:off x="107079" y="23491"/>
                            <a:ext cx="7446754" cy="10610213"/>
                          </a:xfrm>
                          <a:prstGeom prst="rect">
                            <a:avLst/>
                          </a:prstGeom>
                        </pic:spPr>
                      </pic:pic>
                      <pic:pic>
                        <pic:nvPicPr>
                          <pic:cNvPr id="18" name="Image 18"/>
                          <pic:cNvPicPr/>
                        </pic:nvPicPr>
                        <pic:blipFill>
                          <a:blip r:embed="rId5" cstate="print"/>
                          <a:stretch>
                            <a:fillRect/>
                          </a:stretch>
                        </pic:blipFill>
                        <pic:spPr>
                          <a:xfrm>
                            <a:off x="0" y="0"/>
                            <a:ext cx="7559040" cy="858265"/>
                          </a:xfrm>
                          <a:prstGeom prst="rect">
                            <a:avLst/>
                          </a:prstGeom>
                        </pic:spPr>
                      </pic:pic>
                      <pic:pic>
                        <pic:nvPicPr>
                          <pic:cNvPr id="19" name="Image 19"/>
                          <pic:cNvPicPr/>
                        </pic:nvPicPr>
                        <pic:blipFill>
                          <a:blip r:embed="rId6" cstate="print"/>
                          <a:stretch>
                            <a:fillRect/>
                          </a:stretch>
                        </pic:blipFill>
                        <pic:spPr>
                          <a:xfrm>
                            <a:off x="0" y="10125202"/>
                            <a:ext cx="7559040" cy="566928"/>
                          </a:xfrm>
                          <a:prstGeom prst="rect">
                            <a:avLst/>
                          </a:prstGeom>
                        </pic:spPr>
                      </pic:pic>
                    </wpg:wgp>
                  </a:graphicData>
                </a:graphic>
              </wp:anchor>
            </w:drawing>
          </mc:Choice>
          <mc:Fallback>
            <w:pict>
              <v:group style="position:absolute;margin-left:0pt;margin-top:.000024pt;width:595.2pt;height:841.9pt;mso-position-horizontal-relative:page;mso-position-vertical-relative:page;z-index:15731712" id="docshapegroup13" coordorigin="0,0" coordsize="11904,16838">
                <v:shape style="position:absolute;left:168;top:37;width:11728;height:16709" type="#_x0000_t75" id="docshape14" alt="Texto, Carta  Descripción generada automáticamente" stroked="false">
                  <v:imagedata r:id="rId11" o:title=""/>
                </v:shape>
                <v:shape style="position:absolute;left:0;top:0;width:11904;height:1352" type="#_x0000_t75" id="docshape15" stroked="false">
                  <v:imagedata r:id="rId5" o:title=""/>
                </v:shape>
                <v:shape style="position:absolute;left:0;top:15945;width:11904;height:893" type="#_x0000_t75" id="docshape16" stroked="false">
                  <v:imagedata r:id="rId6" o:title=""/>
                </v:shape>
                <w10:wrap type="none"/>
              </v:group>
            </w:pict>
          </mc:Fallback>
        </mc:AlternateContent>
      </w:r>
    </w:p>
    <w:p>
      <w:pPr>
        <w:pStyle w:val="BodyText"/>
        <w:spacing w:after="0"/>
        <w:rPr>
          <w:rFonts w:ascii="Arial MT"/>
          <w:sz w:val="17"/>
        </w:rPr>
        <w:sectPr>
          <w:pgSz w:w="11910" w:h="16840"/>
          <w:pgMar w:top="1920" w:bottom="280" w:left="1700" w:right="1417"/>
        </w:sectPr>
      </w:pPr>
    </w:p>
    <w:p>
      <w:pPr>
        <w:pStyle w:val="BodyText"/>
        <w:spacing w:before="4"/>
        <w:rPr>
          <w:rFonts w:ascii="Arial MT"/>
          <w:sz w:val="17"/>
        </w:rPr>
      </w:pPr>
      <w:r>
        <w:rPr>
          <w:rFonts w:ascii="Arial MT"/>
          <w:sz w:val="17"/>
        </w:rPr>
        <mc:AlternateContent>
          <mc:Choice Requires="wps">
            <w:drawing>
              <wp:anchor distT="0" distB="0" distL="0" distR="0" allowOverlap="1" layoutInCell="1" locked="0" behindDoc="0" simplePos="0" relativeHeight="15732224">
                <wp:simplePos x="0" y="0"/>
                <wp:positionH relativeFrom="page">
                  <wp:posOffset>0</wp:posOffset>
                </wp:positionH>
                <wp:positionV relativeFrom="page">
                  <wp:posOffset>0</wp:posOffset>
                </wp:positionV>
                <wp:extent cx="7559040" cy="10692130"/>
                <wp:effectExtent l="0" t="0" r="0" b="0"/>
                <wp:wrapNone/>
                <wp:docPr id="20" name="Group 20"/>
                <wp:cNvGraphicFramePr>
                  <a:graphicFrameLocks/>
                </wp:cNvGraphicFramePr>
                <a:graphic>
                  <a:graphicData uri="http://schemas.microsoft.com/office/word/2010/wordprocessingGroup">
                    <wpg:wgp>
                      <wpg:cNvPr id="20" name="Group 20"/>
                      <wpg:cNvGrpSpPr/>
                      <wpg:grpSpPr>
                        <a:xfrm>
                          <a:off x="0" y="0"/>
                          <a:ext cx="7559040" cy="10692130"/>
                          <a:chExt cx="7559040" cy="10692130"/>
                        </a:xfrm>
                      </wpg:grpSpPr>
                      <pic:pic>
                        <pic:nvPicPr>
                          <pic:cNvPr id="21" name="Image 21" descr="Texto, Carta  Descripción generada automáticamente"/>
                          <pic:cNvPicPr/>
                        </pic:nvPicPr>
                        <pic:blipFill>
                          <a:blip r:embed="rId12" cstate="print"/>
                          <a:stretch>
                            <a:fillRect/>
                          </a:stretch>
                        </pic:blipFill>
                        <pic:spPr>
                          <a:xfrm>
                            <a:off x="41535" y="4444"/>
                            <a:ext cx="7420350" cy="10525125"/>
                          </a:xfrm>
                          <a:prstGeom prst="rect">
                            <a:avLst/>
                          </a:prstGeom>
                        </pic:spPr>
                      </pic:pic>
                      <pic:pic>
                        <pic:nvPicPr>
                          <pic:cNvPr id="22" name="Image 22"/>
                          <pic:cNvPicPr/>
                        </pic:nvPicPr>
                        <pic:blipFill>
                          <a:blip r:embed="rId5" cstate="print"/>
                          <a:stretch>
                            <a:fillRect/>
                          </a:stretch>
                        </pic:blipFill>
                        <pic:spPr>
                          <a:xfrm>
                            <a:off x="0" y="0"/>
                            <a:ext cx="7559040" cy="858265"/>
                          </a:xfrm>
                          <a:prstGeom prst="rect">
                            <a:avLst/>
                          </a:prstGeom>
                        </pic:spPr>
                      </pic:pic>
                      <pic:pic>
                        <pic:nvPicPr>
                          <pic:cNvPr id="23" name="Image 23"/>
                          <pic:cNvPicPr/>
                        </pic:nvPicPr>
                        <pic:blipFill>
                          <a:blip r:embed="rId6" cstate="print"/>
                          <a:stretch>
                            <a:fillRect/>
                          </a:stretch>
                        </pic:blipFill>
                        <pic:spPr>
                          <a:xfrm>
                            <a:off x="0" y="10125202"/>
                            <a:ext cx="7559040" cy="566928"/>
                          </a:xfrm>
                          <a:prstGeom prst="rect">
                            <a:avLst/>
                          </a:prstGeom>
                        </pic:spPr>
                      </pic:pic>
                    </wpg:wgp>
                  </a:graphicData>
                </a:graphic>
              </wp:anchor>
            </w:drawing>
          </mc:Choice>
          <mc:Fallback>
            <w:pict>
              <v:group style="position:absolute;margin-left:0pt;margin-top:.000024pt;width:595.2pt;height:841.9pt;mso-position-horizontal-relative:page;mso-position-vertical-relative:page;z-index:15732224" id="docshapegroup17" coordorigin="0,0" coordsize="11904,16838">
                <v:shape style="position:absolute;left:65;top:7;width:11686;height:16575" type="#_x0000_t75" id="docshape18" alt="Texto, Carta  Descripción generada automáticamente" stroked="false">
                  <v:imagedata r:id="rId12" o:title=""/>
                </v:shape>
                <v:shape style="position:absolute;left:0;top:0;width:11904;height:1352" type="#_x0000_t75" id="docshape19" stroked="false">
                  <v:imagedata r:id="rId5" o:title=""/>
                </v:shape>
                <v:shape style="position:absolute;left:0;top:15945;width:11904;height:893" type="#_x0000_t75" id="docshape20" stroked="false">
                  <v:imagedata r:id="rId6" o:title=""/>
                </v:shape>
                <w10:wrap type="none"/>
              </v:group>
            </w:pict>
          </mc:Fallback>
        </mc:AlternateContent>
      </w:r>
    </w:p>
    <w:p>
      <w:pPr>
        <w:pStyle w:val="BodyText"/>
        <w:spacing w:after="0"/>
        <w:rPr>
          <w:rFonts w:ascii="Arial MT"/>
          <w:sz w:val="17"/>
        </w:rPr>
        <w:sectPr>
          <w:pgSz w:w="11910" w:h="16840"/>
          <w:pgMar w:top="1920" w:bottom="280" w:left="1700" w:right="1417"/>
        </w:sectPr>
      </w:pPr>
    </w:p>
    <w:p>
      <w:pPr>
        <w:pStyle w:val="BodyText"/>
        <w:spacing w:before="183"/>
        <w:rPr>
          <w:rFonts w:ascii="Arial MT"/>
          <w:sz w:val="36"/>
        </w:rPr>
      </w:pPr>
    </w:p>
    <w:p>
      <w:pPr>
        <w:spacing w:line="278" w:lineRule="auto" w:before="0" w:after="9"/>
        <w:ind w:left="55" w:right="0" w:firstLine="0"/>
        <w:jc w:val="left"/>
        <w:rPr>
          <w:rFonts w:ascii="Arial MT" w:hAnsi="Arial MT"/>
          <w:sz w:val="36"/>
        </w:rPr>
      </w:pPr>
      <w:r>
        <w:rPr>
          <w:rFonts w:ascii="Arial MT" w:hAnsi="Arial MT"/>
          <w:color w:val="333333"/>
          <w:w w:val="90"/>
          <w:sz w:val="36"/>
        </w:rPr>
        <w:t>EL IMPUESTO GENERAL DE LAS VENTAS EN LA PERCEPCIÓN </w:t>
      </w:r>
      <w:r>
        <w:rPr>
          <w:rFonts w:ascii="Arial MT" w:hAnsi="Arial MT"/>
          <w:color w:val="333333"/>
          <w:spacing w:val="-10"/>
          <w:sz w:val="36"/>
        </w:rPr>
        <w:t>ECONÓMICA</w:t>
      </w:r>
      <w:r>
        <w:rPr>
          <w:rFonts w:ascii="Arial MT" w:hAnsi="Arial MT"/>
          <w:color w:val="333333"/>
          <w:spacing w:val="-15"/>
          <w:sz w:val="36"/>
        </w:rPr>
        <w:t> </w:t>
      </w:r>
      <w:r>
        <w:rPr>
          <w:rFonts w:ascii="Arial MT" w:hAnsi="Arial MT"/>
          <w:color w:val="333333"/>
          <w:spacing w:val="-10"/>
          <w:sz w:val="36"/>
        </w:rPr>
        <w:t>DE</w:t>
      </w:r>
      <w:r>
        <w:rPr>
          <w:rFonts w:ascii="Arial MT" w:hAnsi="Arial MT"/>
          <w:color w:val="333333"/>
          <w:spacing w:val="-16"/>
          <w:sz w:val="36"/>
        </w:rPr>
        <w:t> </w:t>
      </w:r>
      <w:r>
        <w:rPr>
          <w:rFonts w:ascii="Arial MT" w:hAnsi="Arial MT"/>
          <w:color w:val="333333"/>
          <w:spacing w:val="-10"/>
          <w:sz w:val="36"/>
        </w:rPr>
        <w:t>LOS</w:t>
      </w:r>
      <w:r>
        <w:rPr>
          <w:rFonts w:ascii="Arial MT" w:hAnsi="Arial MT"/>
          <w:color w:val="333333"/>
          <w:spacing w:val="-15"/>
          <w:sz w:val="36"/>
        </w:rPr>
        <w:t> </w:t>
      </w:r>
      <w:r>
        <w:rPr>
          <w:rFonts w:ascii="Arial MT" w:hAnsi="Arial MT"/>
          <w:color w:val="333333"/>
          <w:spacing w:val="-10"/>
          <w:sz w:val="36"/>
        </w:rPr>
        <w:t>COMERCIANTES</w:t>
      </w:r>
      <w:r>
        <w:rPr>
          <w:rFonts w:ascii="Arial MT" w:hAnsi="Arial MT"/>
          <w:color w:val="333333"/>
          <w:spacing w:val="-16"/>
          <w:sz w:val="36"/>
        </w:rPr>
        <w:t> </w:t>
      </w:r>
      <w:r>
        <w:rPr>
          <w:rFonts w:ascii="Arial MT" w:hAnsi="Arial MT"/>
          <w:color w:val="333333"/>
          <w:spacing w:val="-10"/>
          <w:sz w:val="36"/>
        </w:rPr>
        <w:t>DEL</w:t>
      </w:r>
      <w:r>
        <w:rPr>
          <w:rFonts w:ascii="Arial MT" w:hAnsi="Arial MT"/>
          <w:color w:val="333333"/>
          <w:spacing w:val="-15"/>
          <w:sz w:val="36"/>
        </w:rPr>
        <w:t> </w:t>
      </w:r>
      <w:r>
        <w:rPr>
          <w:rFonts w:ascii="Arial MT" w:hAnsi="Arial MT"/>
          <w:color w:val="333333"/>
          <w:spacing w:val="-10"/>
          <w:sz w:val="36"/>
        </w:rPr>
        <w:t>CENTRO</w:t>
      </w:r>
      <w:r>
        <w:rPr>
          <w:rFonts w:ascii="Arial MT" w:hAnsi="Arial MT"/>
          <w:color w:val="333333"/>
          <w:spacing w:val="-15"/>
          <w:sz w:val="36"/>
        </w:rPr>
        <w:t> </w:t>
      </w:r>
      <w:r>
        <w:rPr>
          <w:rFonts w:ascii="Arial MT" w:hAnsi="Arial MT"/>
          <w:color w:val="333333"/>
          <w:spacing w:val="-10"/>
          <w:sz w:val="36"/>
        </w:rPr>
        <w:t>DE </w:t>
      </w:r>
      <w:r>
        <w:rPr>
          <w:rFonts w:ascii="Arial MT" w:hAnsi="Arial MT"/>
          <w:color w:val="333333"/>
          <w:spacing w:val="-12"/>
          <w:sz w:val="36"/>
        </w:rPr>
        <w:t>ABASTOS LAS MERCEDES DE</w:t>
      </w:r>
      <w:r>
        <w:rPr>
          <w:rFonts w:ascii="Arial MT" w:hAnsi="Arial MT"/>
          <w:color w:val="333333"/>
          <w:spacing w:val="-14"/>
          <w:sz w:val="36"/>
        </w:rPr>
        <w:t> </w:t>
      </w:r>
      <w:r>
        <w:rPr>
          <w:rFonts w:ascii="Arial MT" w:hAnsi="Arial MT"/>
          <w:color w:val="333333"/>
          <w:spacing w:val="-12"/>
          <w:sz w:val="36"/>
        </w:rPr>
        <w:t>JULIACA,</w:t>
      </w:r>
      <w:r>
        <w:rPr>
          <w:rFonts w:ascii="Arial MT" w:hAnsi="Arial MT"/>
          <w:color w:val="333333"/>
          <w:spacing w:val="-15"/>
          <w:sz w:val="36"/>
        </w:rPr>
        <w:t> </w:t>
      </w:r>
      <w:r>
        <w:rPr>
          <w:rFonts w:ascii="Arial MT" w:hAnsi="Arial MT"/>
          <w:color w:val="333333"/>
          <w:spacing w:val="-12"/>
          <w:sz w:val="36"/>
        </w:rPr>
        <w:t>2023</w:t>
      </w:r>
    </w:p>
    <w:p>
      <w:pPr>
        <w:pStyle w:val="BodyText"/>
        <w:spacing w:line="30" w:lineRule="exact"/>
        <w:ind w:left="-170" w:right="-44"/>
        <w:rPr>
          <w:rFonts w:ascii="Arial MT"/>
          <w:position w:val="0"/>
          <w:sz w:val="3"/>
        </w:rPr>
      </w:pPr>
      <w:r>
        <w:rPr>
          <w:rFonts w:ascii="Arial MT"/>
          <w:position w:val="0"/>
          <w:sz w:val="3"/>
        </w:rPr>
        <mc:AlternateContent>
          <mc:Choice Requires="wps">
            <w:drawing>
              <wp:inline distT="0" distB="0" distL="0" distR="0">
                <wp:extent cx="6788150" cy="19685"/>
                <wp:effectExtent l="0" t="0" r="0" b="0"/>
                <wp:docPr id="24" name="Group 24"/>
                <wp:cNvGraphicFramePr>
                  <a:graphicFrameLocks/>
                </wp:cNvGraphicFramePr>
                <a:graphic>
                  <a:graphicData uri="http://schemas.microsoft.com/office/word/2010/wordprocessingGroup">
                    <wpg:wgp>
                      <wpg:cNvPr id="24" name="Group 24"/>
                      <wpg:cNvGrpSpPr/>
                      <wpg:grpSpPr>
                        <a:xfrm>
                          <a:off x="0" y="0"/>
                          <a:ext cx="6788150" cy="19685"/>
                          <a:chExt cx="6788150" cy="19685"/>
                        </a:xfrm>
                      </wpg:grpSpPr>
                      <wps:wsp>
                        <wps:cNvPr id="25" name="Graphic 25"/>
                        <wps:cNvSpPr/>
                        <wps:spPr>
                          <a:xfrm>
                            <a:off x="0" y="0"/>
                            <a:ext cx="6788150" cy="19685"/>
                          </a:xfrm>
                          <a:custGeom>
                            <a:avLst/>
                            <a:gdLst/>
                            <a:ahLst/>
                            <a:cxnLst/>
                            <a:rect l="l" t="t" r="r" b="b"/>
                            <a:pathLst>
                              <a:path w="6788150" h="19685">
                                <a:moveTo>
                                  <a:pt x="6787892" y="19067"/>
                                </a:moveTo>
                                <a:lnTo>
                                  <a:pt x="0" y="19067"/>
                                </a:lnTo>
                                <a:lnTo>
                                  <a:pt x="0" y="0"/>
                                </a:lnTo>
                                <a:lnTo>
                                  <a:pt x="6787892" y="0"/>
                                </a:lnTo>
                                <a:lnTo>
                                  <a:pt x="6787892" y="19067"/>
                                </a:lnTo>
                                <a:close/>
                              </a:path>
                            </a:pathLst>
                          </a:custGeom>
                          <a:solidFill>
                            <a:srgbClr val="999999"/>
                          </a:solidFill>
                        </wps:spPr>
                        <wps:bodyPr wrap="square" lIns="0" tIns="0" rIns="0" bIns="0" rtlCol="0">
                          <a:prstTxWarp prst="textNoShape">
                            <a:avLst/>
                          </a:prstTxWarp>
                          <a:noAutofit/>
                        </wps:bodyPr>
                      </wps:wsp>
                    </wpg:wgp>
                  </a:graphicData>
                </a:graphic>
              </wp:inline>
            </w:drawing>
          </mc:Choice>
          <mc:Fallback>
            <w:pict>
              <v:group style="width:534.5pt;height:1.55pt;mso-position-horizontal-relative:char;mso-position-vertical-relative:line" id="docshapegroup21" coordorigin="0,0" coordsize="10690,31">
                <v:rect style="position:absolute;left:0;top:0;width:10690;height:31" id="docshape22" filled="true" fillcolor="#999999" stroked="false">
                  <v:fill type="solid"/>
                </v:rect>
              </v:group>
            </w:pict>
          </mc:Fallback>
        </mc:AlternateContent>
      </w:r>
      <w:r>
        <w:rPr>
          <w:rFonts w:ascii="Arial MT"/>
          <w:position w:val="0"/>
          <w:sz w:val="3"/>
        </w:rPr>
      </w:r>
    </w:p>
    <w:p>
      <w:pPr>
        <w:spacing w:before="116"/>
        <w:ind w:left="55" w:right="0" w:firstLine="0"/>
        <w:jc w:val="left"/>
        <w:rPr>
          <w:rFonts w:ascii="Arial MT"/>
          <w:sz w:val="18"/>
        </w:rPr>
      </w:pPr>
      <w:r>
        <w:rPr>
          <w:rFonts w:ascii="Arial MT"/>
          <w:sz w:val="18"/>
        </w:rPr>
        <mc:AlternateContent>
          <mc:Choice Requires="wps">
            <w:drawing>
              <wp:anchor distT="0" distB="0" distL="0" distR="0" allowOverlap="1" layoutInCell="1" locked="0" behindDoc="1" simplePos="0" relativeHeight="485992960">
                <wp:simplePos x="0" y="0"/>
                <wp:positionH relativeFrom="page">
                  <wp:posOffset>574871</wp:posOffset>
                </wp:positionH>
                <wp:positionV relativeFrom="paragraph">
                  <wp:posOffset>200529</wp:posOffset>
                </wp:positionV>
                <wp:extent cx="783590" cy="935355"/>
                <wp:effectExtent l="0" t="0" r="0" b="0"/>
                <wp:wrapNone/>
                <wp:docPr id="26" name="Textbox 26"/>
                <wp:cNvGraphicFramePr>
                  <a:graphicFrameLocks/>
                </wp:cNvGraphicFramePr>
                <a:graphic>
                  <a:graphicData uri="http://schemas.microsoft.com/office/word/2010/wordprocessingShape">
                    <wps:wsp>
                      <wps:cNvPr id="26" name="Textbox 26"/>
                      <wps:cNvSpPr txBox="1"/>
                      <wps:spPr>
                        <a:xfrm>
                          <a:off x="0" y="0"/>
                          <a:ext cx="783590" cy="935355"/>
                        </a:xfrm>
                        <a:prstGeom prst="rect">
                          <a:avLst/>
                        </a:prstGeom>
                      </wps:spPr>
                      <wps:txbx>
                        <w:txbxContent>
                          <w:p>
                            <w:pPr>
                              <w:spacing w:before="142"/>
                              <w:ind w:left="0" w:right="0" w:firstLine="0"/>
                              <w:jc w:val="left"/>
                              <w:rPr>
                                <w:rFonts w:ascii="Arial MT"/>
                                <w:sz w:val="108"/>
                              </w:rPr>
                            </w:pPr>
                            <w:r>
                              <w:rPr>
                                <w:rFonts w:ascii="Arial MT"/>
                                <w:color w:val="FF0000"/>
                                <w:spacing w:val="-5"/>
                                <w:sz w:val="108"/>
                              </w:rPr>
                              <w:t>22</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5.265495pt;margin-top:15.789737pt;width:61.7pt;height:73.650pt;mso-position-horizontal-relative:page;mso-position-vertical-relative:paragraph;z-index:-17323520" type="#_x0000_t202" id="docshape23" filled="false" stroked="false">
                <v:textbox inset="0,0,0,0">
                  <w:txbxContent>
                    <w:p>
                      <w:pPr>
                        <w:spacing w:before="142"/>
                        <w:ind w:left="0" w:right="0" w:firstLine="0"/>
                        <w:jc w:val="left"/>
                        <w:rPr>
                          <w:rFonts w:ascii="Arial MT"/>
                          <w:sz w:val="108"/>
                        </w:rPr>
                      </w:pPr>
                      <w:r>
                        <w:rPr>
                          <w:rFonts w:ascii="Arial MT"/>
                          <w:color w:val="FF0000"/>
                          <w:spacing w:val="-5"/>
                          <w:sz w:val="108"/>
                        </w:rPr>
                        <w:t>22</w:t>
                      </w:r>
                    </w:p>
                  </w:txbxContent>
                </v:textbox>
                <w10:wrap type="none"/>
              </v:shape>
            </w:pict>
          </mc:Fallback>
        </mc:AlternateContent>
      </w:r>
      <w:r>
        <w:rPr>
          <w:rFonts w:ascii="Arial MT"/>
          <w:color w:val="FF0000"/>
          <w:spacing w:val="-6"/>
          <w:sz w:val="18"/>
        </w:rPr>
        <w:t>INFORME DE</w:t>
      </w:r>
      <w:r>
        <w:rPr>
          <w:rFonts w:ascii="Arial MT"/>
          <w:color w:val="FF0000"/>
          <w:spacing w:val="-5"/>
          <w:sz w:val="18"/>
        </w:rPr>
        <w:t> </w:t>
      </w:r>
      <w:r>
        <w:rPr>
          <w:rFonts w:ascii="Arial MT"/>
          <w:color w:val="FF0000"/>
          <w:spacing w:val="-6"/>
          <w:sz w:val="18"/>
        </w:rPr>
        <w:t>ORIGINALIDAD</w:t>
      </w:r>
    </w:p>
    <w:p>
      <w:pPr>
        <w:pStyle w:val="BodyText"/>
        <w:spacing w:before="5"/>
        <w:rPr>
          <w:rFonts w:ascii="Arial MT"/>
          <w:sz w:val="8"/>
        </w:rPr>
      </w:pPr>
    </w:p>
    <w:p>
      <w:pPr>
        <w:pStyle w:val="BodyText"/>
        <w:spacing w:line="20" w:lineRule="exact"/>
        <w:ind w:left="-170" w:right="-44"/>
        <w:rPr>
          <w:rFonts w:ascii="Arial MT"/>
          <w:sz w:val="2"/>
        </w:rPr>
      </w:pPr>
      <w:r>
        <w:rPr>
          <w:rFonts w:ascii="Arial MT"/>
          <w:sz w:val="2"/>
        </w:rPr>
        <mc:AlternateContent>
          <mc:Choice Requires="wps">
            <w:drawing>
              <wp:inline distT="0" distB="0" distL="0" distR="0">
                <wp:extent cx="6788150" cy="10160"/>
                <wp:effectExtent l="0" t="0" r="0" b="0"/>
                <wp:docPr id="27" name="Group 27"/>
                <wp:cNvGraphicFramePr>
                  <a:graphicFrameLocks/>
                </wp:cNvGraphicFramePr>
                <a:graphic>
                  <a:graphicData uri="http://schemas.microsoft.com/office/word/2010/wordprocessingGroup">
                    <wpg:wgp>
                      <wpg:cNvPr id="27" name="Group 27"/>
                      <wpg:cNvGrpSpPr/>
                      <wpg:grpSpPr>
                        <a:xfrm>
                          <a:off x="0" y="0"/>
                          <a:ext cx="6788150" cy="10160"/>
                          <a:chExt cx="6788150" cy="10160"/>
                        </a:xfrm>
                      </wpg:grpSpPr>
                      <wps:wsp>
                        <wps:cNvPr id="28" name="Graphic 28"/>
                        <wps:cNvSpPr/>
                        <wps:spPr>
                          <a:xfrm>
                            <a:off x="0" y="0"/>
                            <a:ext cx="6788150" cy="10160"/>
                          </a:xfrm>
                          <a:custGeom>
                            <a:avLst/>
                            <a:gdLst/>
                            <a:ahLst/>
                            <a:cxnLst/>
                            <a:rect l="l" t="t" r="r" b="b"/>
                            <a:pathLst>
                              <a:path w="6788150" h="10160">
                                <a:moveTo>
                                  <a:pt x="6787892" y="9533"/>
                                </a:moveTo>
                                <a:lnTo>
                                  <a:pt x="0" y="9533"/>
                                </a:lnTo>
                                <a:lnTo>
                                  <a:pt x="0" y="0"/>
                                </a:lnTo>
                                <a:lnTo>
                                  <a:pt x="6787892" y="0"/>
                                </a:lnTo>
                                <a:lnTo>
                                  <a:pt x="6787892" y="9533"/>
                                </a:lnTo>
                                <a:close/>
                              </a:path>
                            </a:pathLst>
                          </a:custGeom>
                          <a:solidFill>
                            <a:srgbClr val="999999"/>
                          </a:solidFill>
                        </wps:spPr>
                        <wps:bodyPr wrap="square" lIns="0" tIns="0" rIns="0" bIns="0" rtlCol="0">
                          <a:prstTxWarp prst="textNoShape">
                            <a:avLst/>
                          </a:prstTxWarp>
                          <a:noAutofit/>
                        </wps:bodyPr>
                      </wps:wsp>
                    </wpg:wgp>
                  </a:graphicData>
                </a:graphic>
              </wp:inline>
            </w:drawing>
          </mc:Choice>
          <mc:Fallback>
            <w:pict>
              <v:group style="width:534.5pt;height:.8pt;mso-position-horizontal-relative:char;mso-position-vertical-relative:line" id="docshapegroup24" coordorigin="0,0" coordsize="10690,16">
                <v:rect style="position:absolute;left:0;top:0;width:10690;height:16" id="docshape25" filled="true" fillcolor="#999999" stroked="false">
                  <v:fill type="solid"/>
                </v:rect>
              </v:group>
            </w:pict>
          </mc:Fallback>
        </mc:AlternateContent>
      </w:r>
      <w:r>
        <w:rPr>
          <w:rFonts w:ascii="Arial MT"/>
          <w:sz w:val="2"/>
        </w:rPr>
      </w:r>
    </w:p>
    <w:p>
      <w:pPr>
        <w:pStyle w:val="BodyText"/>
        <w:spacing w:before="11"/>
        <w:rPr>
          <w:rFonts w:ascii="Arial MT"/>
          <w:sz w:val="13"/>
        </w:rPr>
      </w:pPr>
    </w:p>
    <w:p>
      <w:pPr>
        <w:pStyle w:val="BodyText"/>
        <w:spacing w:after="0"/>
        <w:rPr>
          <w:rFonts w:ascii="Arial MT"/>
          <w:sz w:val="13"/>
        </w:rPr>
        <w:sectPr>
          <w:pgSz w:w="12240" w:h="15840"/>
          <w:pgMar w:top="0" w:bottom="0" w:left="850" w:right="850"/>
        </w:sectPr>
      </w:pPr>
    </w:p>
    <w:p>
      <w:pPr>
        <w:pStyle w:val="BodyText"/>
        <w:spacing w:before="118"/>
        <w:rPr>
          <w:rFonts w:ascii="Arial MT"/>
          <w:sz w:val="36"/>
        </w:rPr>
      </w:pPr>
    </w:p>
    <w:p>
      <w:pPr>
        <w:spacing w:before="1"/>
        <w:ind w:left="1286" w:right="0" w:firstLine="0"/>
        <w:jc w:val="left"/>
        <w:rPr>
          <w:rFonts w:ascii="Arial MT"/>
          <w:sz w:val="36"/>
        </w:rPr>
      </w:pPr>
      <w:r>
        <w:rPr>
          <w:rFonts w:ascii="Arial MT"/>
          <w:color w:val="333333"/>
          <w:spacing w:val="-10"/>
          <w:sz w:val="36"/>
        </w:rPr>
        <w:t>%</w:t>
      </w:r>
    </w:p>
    <w:p>
      <w:pPr>
        <w:spacing w:before="92"/>
        <w:ind w:left="55" w:right="0" w:firstLine="0"/>
        <w:jc w:val="left"/>
        <w:rPr>
          <w:rFonts w:ascii="Arial MT"/>
          <w:sz w:val="22"/>
        </w:rPr>
      </w:pPr>
      <w:r>
        <w:rPr>
          <w:rFonts w:ascii="Arial MT"/>
          <w:color w:val="333333"/>
          <w:spacing w:val="-2"/>
          <w:sz w:val="22"/>
        </w:rPr>
        <w:t>INDICE</w:t>
      </w:r>
      <w:r>
        <w:rPr>
          <w:rFonts w:ascii="Arial MT"/>
          <w:color w:val="333333"/>
          <w:spacing w:val="-12"/>
          <w:sz w:val="22"/>
        </w:rPr>
        <w:t> </w:t>
      </w:r>
      <w:r>
        <w:rPr>
          <w:rFonts w:ascii="Arial MT"/>
          <w:color w:val="333333"/>
          <w:spacing w:val="-2"/>
          <w:sz w:val="22"/>
        </w:rPr>
        <w:t>DE</w:t>
      </w:r>
      <w:r>
        <w:rPr>
          <w:rFonts w:ascii="Arial MT"/>
          <w:color w:val="333333"/>
          <w:spacing w:val="-12"/>
          <w:sz w:val="22"/>
        </w:rPr>
        <w:t> </w:t>
      </w:r>
      <w:r>
        <w:rPr>
          <w:rFonts w:ascii="Arial MT"/>
          <w:color w:val="333333"/>
          <w:spacing w:val="-2"/>
          <w:sz w:val="22"/>
        </w:rPr>
        <w:t>SIMILITUD</w:t>
      </w:r>
    </w:p>
    <w:p>
      <w:pPr>
        <w:spacing w:before="195"/>
        <w:ind w:left="55" w:right="0" w:firstLine="0"/>
        <w:jc w:val="left"/>
        <w:rPr>
          <w:rFonts w:ascii="Arial MT"/>
          <w:sz w:val="36"/>
        </w:rPr>
      </w:pPr>
      <w:r>
        <w:rPr/>
        <w:br w:type="column"/>
      </w:r>
      <w:r>
        <w:rPr>
          <w:rFonts w:ascii="Arial MT"/>
          <w:color w:val="333333"/>
          <w:spacing w:val="-5"/>
          <w:sz w:val="72"/>
        </w:rPr>
        <w:t>14</w:t>
      </w:r>
      <w:r>
        <w:rPr>
          <w:rFonts w:ascii="Arial MT"/>
          <w:color w:val="333333"/>
          <w:spacing w:val="-5"/>
          <w:sz w:val="36"/>
        </w:rPr>
        <w:t>%</w:t>
      </w:r>
    </w:p>
    <w:p>
      <w:pPr>
        <w:spacing w:before="16"/>
        <w:ind w:left="55" w:right="0" w:firstLine="0"/>
        <w:jc w:val="left"/>
        <w:rPr>
          <w:rFonts w:ascii="Arial MT"/>
          <w:sz w:val="22"/>
        </w:rPr>
      </w:pPr>
      <w:r>
        <w:rPr>
          <w:rFonts w:ascii="Arial MT"/>
          <w:color w:val="333333"/>
          <w:w w:val="90"/>
          <w:sz w:val="22"/>
        </w:rPr>
        <w:t>FUENTES</w:t>
      </w:r>
      <w:r>
        <w:rPr>
          <w:rFonts w:ascii="Arial MT"/>
          <w:color w:val="333333"/>
          <w:spacing w:val="3"/>
          <w:sz w:val="22"/>
        </w:rPr>
        <w:t> </w:t>
      </w:r>
      <w:r>
        <w:rPr>
          <w:rFonts w:ascii="Arial MT"/>
          <w:color w:val="333333"/>
          <w:w w:val="90"/>
          <w:sz w:val="22"/>
        </w:rPr>
        <w:t>DE</w:t>
      </w:r>
      <w:r>
        <w:rPr>
          <w:rFonts w:ascii="Arial MT"/>
          <w:color w:val="333333"/>
          <w:spacing w:val="1"/>
          <w:sz w:val="22"/>
        </w:rPr>
        <w:t> </w:t>
      </w:r>
      <w:r>
        <w:rPr>
          <w:rFonts w:ascii="Arial MT"/>
          <w:color w:val="333333"/>
          <w:spacing w:val="-2"/>
          <w:w w:val="90"/>
          <w:sz w:val="22"/>
        </w:rPr>
        <w:t>INTERNET</w:t>
      </w:r>
    </w:p>
    <w:p>
      <w:pPr>
        <w:spacing w:before="195"/>
        <w:ind w:left="55" w:right="0" w:firstLine="0"/>
        <w:jc w:val="left"/>
        <w:rPr>
          <w:rFonts w:ascii="Arial MT"/>
          <w:sz w:val="36"/>
        </w:rPr>
      </w:pPr>
      <w:r>
        <w:rPr/>
        <w:br w:type="column"/>
      </w:r>
      <w:r>
        <w:rPr>
          <w:rFonts w:ascii="Arial MT"/>
          <w:color w:val="333333"/>
          <w:spacing w:val="-5"/>
          <w:sz w:val="72"/>
        </w:rPr>
        <w:t>2</w:t>
      </w:r>
      <w:r>
        <w:rPr>
          <w:rFonts w:ascii="Arial MT"/>
          <w:color w:val="333333"/>
          <w:spacing w:val="-5"/>
          <w:sz w:val="36"/>
        </w:rPr>
        <w:t>%</w:t>
      </w:r>
    </w:p>
    <w:p>
      <w:pPr>
        <w:spacing w:before="16"/>
        <w:ind w:left="55" w:right="0" w:firstLine="0"/>
        <w:jc w:val="left"/>
        <w:rPr>
          <w:rFonts w:ascii="Arial MT"/>
          <w:sz w:val="22"/>
        </w:rPr>
      </w:pPr>
      <w:r>
        <w:rPr>
          <w:rFonts w:ascii="Arial MT"/>
          <w:color w:val="333333"/>
          <w:spacing w:val="-9"/>
          <w:sz w:val="22"/>
        </w:rPr>
        <w:t>PUBLICACIONES</w:t>
      </w:r>
    </w:p>
    <w:p>
      <w:pPr>
        <w:spacing w:before="195"/>
        <w:ind w:left="280" w:right="0" w:firstLine="0"/>
        <w:jc w:val="left"/>
        <w:rPr>
          <w:rFonts w:ascii="Arial MT"/>
          <w:sz w:val="36"/>
        </w:rPr>
      </w:pPr>
      <w:r>
        <w:rPr/>
        <w:br w:type="column"/>
      </w:r>
      <w:r>
        <w:rPr>
          <w:rFonts w:ascii="Arial MT"/>
          <w:color w:val="333333"/>
          <w:spacing w:val="-5"/>
          <w:sz w:val="72"/>
        </w:rPr>
        <w:t>18</w:t>
      </w:r>
      <w:r>
        <w:rPr>
          <w:rFonts w:ascii="Arial MT"/>
          <w:color w:val="333333"/>
          <w:spacing w:val="-5"/>
          <w:sz w:val="36"/>
        </w:rPr>
        <w:t>%</w:t>
      </w:r>
    </w:p>
    <w:p>
      <w:pPr>
        <w:spacing w:line="271" w:lineRule="auto" w:before="16"/>
        <w:ind w:left="55" w:right="968" w:firstLine="225"/>
        <w:jc w:val="left"/>
        <w:rPr>
          <w:rFonts w:ascii="Arial MT"/>
          <w:sz w:val="22"/>
        </w:rPr>
      </w:pPr>
      <w:r>
        <w:rPr>
          <w:rFonts w:ascii="Arial MT"/>
          <w:color w:val="333333"/>
          <w:w w:val="90"/>
          <w:sz w:val="22"/>
        </w:rPr>
        <w:t>TRABAJOS</w:t>
      </w:r>
      <w:r>
        <w:rPr>
          <w:rFonts w:ascii="Arial MT"/>
          <w:color w:val="333333"/>
          <w:spacing w:val="-10"/>
          <w:w w:val="90"/>
          <w:sz w:val="22"/>
        </w:rPr>
        <w:t> </w:t>
      </w:r>
      <w:r>
        <w:rPr>
          <w:rFonts w:ascii="Arial MT"/>
          <w:color w:val="333333"/>
          <w:w w:val="90"/>
          <w:sz w:val="22"/>
        </w:rPr>
        <w:t>DEL </w:t>
      </w:r>
      <w:r>
        <w:rPr>
          <w:rFonts w:ascii="Arial MT"/>
          <w:color w:val="333333"/>
          <w:spacing w:val="-2"/>
          <w:sz w:val="22"/>
        </w:rPr>
        <w:t>ESTUDIANTE</w:t>
      </w:r>
    </w:p>
    <w:p>
      <w:pPr>
        <w:spacing w:after="0" w:line="271" w:lineRule="auto"/>
        <w:jc w:val="left"/>
        <w:rPr>
          <w:rFonts w:ascii="Arial MT"/>
          <w:sz w:val="22"/>
        </w:rPr>
        <w:sectPr>
          <w:type w:val="continuous"/>
          <w:pgSz w:w="12240" w:h="15840"/>
          <w:pgMar w:top="0" w:bottom="0" w:left="850" w:right="850"/>
          <w:cols w:num="4" w:equalWidth="0">
            <w:col w:w="2303" w:space="369"/>
            <w:col w:w="2415" w:space="258"/>
            <w:col w:w="1753" w:space="694"/>
            <w:col w:w="2748"/>
          </w:cols>
        </w:sectPr>
      </w:pPr>
    </w:p>
    <w:p>
      <w:pPr>
        <w:pStyle w:val="BodyText"/>
        <w:spacing w:before="95"/>
        <w:rPr>
          <w:rFonts w:ascii="Arial MT"/>
          <w:sz w:val="20"/>
        </w:rPr>
      </w:pPr>
    </w:p>
    <w:p>
      <w:pPr>
        <w:pStyle w:val="BodyText"/>
        <w:spacing w:line="30" w:lineRule="exact"/>
        <w:ind w:left="-170" w:right="-44"/>
        <w:rPr>
          <w:rFonts w:ascii="Arial MT"/>
          <w:position w:val="0"/>
          <w:sz w:val="3"/>
        </w:rPr>
      </w:pPr>
      <w:r>
        <w:rPr>
          <w:rFonts w:ascii="Arial MT"/>
          <w:position w:val="0"/>
          <w:sz w:val="3"/>
        </w:rPr>
        <mc:AlternateContent>
          <mc:Choice Requires="wps">
            <w:drawing>
              <wp:inline distT="0" distB="0" distL="0" distR="0">
                <wp:extent cx="6788150" cy="19685"/>
                <wp:effectExtent l="0" t="0" r="0" b="0"/>
                <wp:docPr id="29" name="Group 29"/>
                <wp:cNvGraphicFramePr>
                  <a:graphicFrameLocks/>
                </wp:cNvGraphicFramePr>
                <a:graphic>
                  <a:graphicData uri="http://schemas.microsoft.com/office/word/2010/wordprocessingGroup">
                    <wpg:wgp>
                      <wpg:cNvPr id="29" name="Group 29"/>
                      <wpg:cNvGrpSpPr/>
                      <wpg:grpSpPr>
                        <a:xfrm>
                          <a:off x="0" y="0"/>
                          <a:ext cx="6788150" cy="19685"/>
                          <a:chExt cx="6788150" cy="19685"/>
                        </a:xfrm>
                      </wpg:grpSpPr>
                      <wps:wsp>
                        <wps:cNvPr id="30" name="Graphic 30"/>
                        <wps:cNvSpPr/>
                        <wps:spPr>
                          <a:xfrm>
                            <a:off x="0" y="0"/>
                            <a:ext cx="6788150" cy="19685"/>
                          </a:xfrm>
                          <a:custGeom>
                            <a:avLst/>
                            <a:gdLst/>
                            <a:ahLst/>
                            <a:cxnLst/>
                            <a:rect l="l" t="t" r="r" b="b"/>
                            <a:pathLst>
                              <a:path w="6788150" h="19685">
                                <a:moveTo>
                                  <a:pt x="6787892" y="19067"/>
                                </a:moveTo>
                                <a:lnTo>
                                  <a:pt x="0" y="19067"/>
                                </a:lnTo>
                                <a:lnTo>
                                  <a:pt x="0" y="0"/>
                                </a:lnTo>
                                <a:lnTo>
                                  <a:pt x="6787892" y="0"/>
                                </a:lnTo>
                                <a:lnTo>
                                  <a:pt x="6787892" y="19067"/>
                                </a:lnTo>
                                <a:close/>
                              </a:path>
                            </a:pathLst>
                          </a:custGeom>
                          <a:solidFill>
                            <a:srgbClr val="999999"/>
                          </a:solidFill>
                        </wps:spPr>
                        <wps:bodyPr wrap="square" lIns="0" tIns="0" rIns="0" bIns="0" rtlCol="0">
                          <a:prstTxWarp prst="textNoShape">
                            <a:avLst/>
                          </a:prstTxWarp>
                          <a:noAutofit/>
                        </wps:bodyPr>
                      </wps:wsp>
                    </wpg:wgp>
                  </a:graphicData>
                </a:graphic>
              </wp:inline>
            </w:drawing>
          </mc:Choice>
          <mc:Fallback>
            <w:pict>
              <v:group style="width:534.5pt;height:1.55pt;mso-position-horizontal-relative:char;mso-position-vertical-relative:line" id="docshapegroup26" coordorigin="0,0" coordsize="10690,31">
                <v:rect style="position:absolute;left:0;top:0;width:10690;height:31" id="docshape27" filled="true" fillcolor="#999999" stroked="false">
                  <v:fill type="solid"/>
                </v:rect>
              </v:group>
            </w:pict>
          </mc:Fallback>
        </mc:AlternateContent>
      </w:r>
      <w:r>
        <w:rPr>
          <w:rFonts w:ascii="Arial MT"/>
          <w:position w:val="0"/>
          <w:sz w:val="3"/>
        </w:rPr>
      </w:r>
    </w:p>
    <w:p>
      <w:pPr>
        <w:spacing w:before="116"/>
        <w:ind w:left="55" w:right="0" w:firstLine="0"/>
        <w:jc w:val="left"/>
        <w:rPr>
          <w:rFonts w:ascii="Arial MT"/>
          <w:sz w:val="18"/>
        </w:rPr>
      </w:pPr>
      <w:r>
        <w:rPr>
          <w:rFonts w:ascii="Arial MT"/>
          <w:sz w:val="18"/>
        </w:rPr>
        <mc:AlternateContent>
          <mc:Choice Requires="wps">
            <w:drawing>
              <wp:anchor distT="0" distB="0" distL="0" distR="0" allowOverlap="1" layoutInCell="1" locked="0" behindDoc="0" simplePos="0" relativeHeight="15734272">
                <wp:simplePos x="0" y="0"/>
                <wp:positionH relativeFrom="page">
                  <wp:posOffset>431868</wp:posOffset>
                </wp:positionH>
                <wp:positionV relativeFrom="paragraph">
                  <wp:posOffset>266956</wp:posOffset>
                </wp:positionV>
                <wp:extent cx="6788150" cy="10160"/>
                <wp:effectExtent l="0" t="0" r="0" b="0"/>
                <wp:wrapNone/>
                <wp:docPr id="31" name="Graphic 31"/>
                <wp:cNvGraphicFramePr>
                  <a:graphicFrameLocks/>
                </wp:cNvGraphicFramePr>
                <a:graphic>
                  <a:graphicData uri="http://schemas.microsoft.com/office/word/2010/wordprocessingShape">
                    <wps:wsp>
                      <wps:cNvPr id="31" name="Graphic 31"/>
                      <wps:cNvSpPr/>
                      <wps:spPr>
                        <a:xfrm>
                          <a:off x="0" y="0"/>
                          <a:ext cx="6788150" cy="10160"/>
                        </a:xfrm>
                        <a:custGeom>
                          <a:avLst/>
                          <a:gdLst/>
                          <a:ahLst/>
                          <a:cxnLst/>
                          <a:rect l="l" t="t" r="r" b="b"/>
                          <a:pathLst>
                            <a:path w="6788150" h="10160">
                              <a:moveTo>
                                <a:pt x="6787892" y="9533"/>
                              </a:moveTo>
                              <a:lnTo>
                                <a:pt x="0" y="9533"/>
                              </a:lnTo>
                              <a:lnTo>
                                <a:pt x="0" y="0"/>
                              </a:lnTo>
                              <a:lnTo>
                                <a:pt x="6787892" y="0"/>
                              </a:lnTo>
                              <a:lnTo>
                                <a:pt x="6787892" y="9533"/>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rect style="position:absolute;margin-left:34.00539pt;margin-top:21.020214pt;width:534.479725pt;height:.750674pt;mso-position-horizontal-relative:page;mso-position-vertical-relative:paragraph;z-index:15734272" id="docshape28" filled="true" fillcolor="#999999" stroked="false">
                <v:fill type="solid"/>
                <w10:wrap type="none"/>
              </v:rect>
            </w:pict>
          </mc:Fallback>
        </mc:AlternateContent>
      </w:r>
      <w:r>
        <w:rPr>
          <w:rFonts w:ascii="Arial MT"/>
          <w:color w:val="FF0000"/>
          <w:w w:val="90"/>
          <w:sz w:val="18"/>
        </w:rPr>
        <w:t>FUENTES</w:t>
      </w:r>
      <w:r>
        <w:rPr>
          <w:rFonts w:ascii="Arial MT"/>
          <w:color w:val="FF0000"/>
          <w:spacing w:val="11"/>
          <w:sz w:val="18"/>
        </w:rPr>
        <w:t> </w:t>
      </w:r>
      <w:r>
        <w:rPr>
          <w:rFonts w:ascii="Arial MT"/>
          <w:color w:val="FF0000"/>
          <w:spacing w:val="-2"/>
          <w:sz w:val="18"/>
        </w:rPr>
        <w:t>PRIMARIAS</w:t>
      </w:r>
    </w:p>
    <w:p>
      <w:pPr>
        <w:spacing w:after="0"/>
        <w:jc w:val="left"/>
        <w:rPr>
          <w:rFonts w:ascii="Arial MT"/>
          <w:sz w:val="18"/>
        </w:rPr>
        <w:sectPr>
          <w:type w:val="continuous"/>
          <w:pgSz w:w="12240" w:h="15840"/>
          <w:pgMar w:top="0" w:bottom="0" w:left="850" w:right="850"/>
        </w:sectPr>
      </w:pPr>
    </w:p>
    <w:p>
      <w:pPr>
        <w:tabs>
          <w:tab w:pos="956" w:val="left" w:leader="none"/>
        </w:tabs>
        <w:spacing w:line="199" w:lineRule="auto" w:before="380"/>
        <w:ind w:left="956" w:right="0" w:hanging="901"/>
        <w:jc w:val="left"/>
        <w:rPr>
          <w:rFonts w:ascii="Arial MT"/>
          <w:sz w:val="37"/>
        </w:rPr>
      </w:pPr>
      <w:r>
        <w:rPr>
          <w:rFonts w:ascii="Arial MT"/>
          <w:sz w:val="37"/>
        </w:rPr>
        <mc:AlternateContent>
          <mc:Choice Requires="wps">
            <w:drawing>
              <wp:anchor distT="0" distB="0" distL="0" distR="0" allowOverlap="1" layoutInCell="1" locked="0" behindDoc="0" simplePos="0" relativeHeight="15738368">
                <wp:simplePos x="0" y="0"/>
                <wp:positionH relativeFrom="page">
                  <wp:posOffset>0</wp:posOffset>
                </wp:positionH>
                <wp:positionV relativeFrom="page">
                  <wp:posOffset>8931513</wp:posOffset>
                </wp:positionV>
                <wp:extent cx="7559040" cy="1127125"/>
                <wp:effectExtent l="0" t="0" r="0" b="0"/>
                <wp:wrapNone/>
                <wp:docPr id="32" name="Group 32"/>
                <wp:cNvGraphicFramePr>
                  <a:graphicFrameLocks/>
                </wp:cNvGraphicFramePr>
                <a:graphic>
                  <a:graphicData uri="http://schemas.microsoft.com/office/word/2010/wordprocessingGroup">
                    <wpg:wgp>
                      <wpg:cNvPr id="32" name="Group 32"/>
                      <wpg:cNvGrpSpPr/>
                      <wpg:grpSpPr>
                        <a:xfrm>
                          <a:off x="0" y="0"/>
                          <a:ext cx="7559040" cy="1127125"/>
                          <a:chExt cx="7559040" cy="1127125"/>
                        </a:xfrm>
                      </wpg:grpSpPr>
                      <wps:wsp>
                        <wps:cNvPr id="33" name="Graphic 33"/>
                        <wps:cNvSpPr/>
                        <wps:spPr>
                          <a:xfrm>
                            <a:off x="431868" y="719303"/>
                            <a:ext cx="6788150" cy="10160"/>
                          </a:xfrm>
                          <a:custGeom>
                            <a:avLst/>
                            <a:gdLst/>
                            <a:ahLst/>
                            <a:cxnLst/>
                            <a:rect l="l" t="t" r="r" b="b"/>
                            <a:pathLst>
                              <a:path w="6788150" h="10160">
                                <a:moveTo>
                                  <a:pt x="6787892" y="9533"/>
                                </a:moveTo>
                                <a:lnTo>
                                  <a:pt x="0" y="9533"/>
                                </a:lnTo>
                                <a:lnTo>
                                  <a:pt x="0" y="0"/>
                                </a:lnTo>
                                <a:lnTo>
                                  <a:pt x="6787892" y="0"/>
                                </a:lnTo>
                                <a:lnTo>
                                  <a:pt x="6787892" y="9533"/>
                                </a:lnTo>
                                <a:close/>
                              </a:path>
                            </a:pathLst>
                          </a:custGeom>
                          <a:solidFill>
                            <a:srgbClr val="999999"/>
                          </a:solidFill>
                        </wps:spPr>
                        <wps:bodyPr wrap="square" lIns="0" tIns="0" rIns="0" bIns="0" rtlCol="0">
                          <a:prstTxWarp prst="textNoShape">
                            <a:avLst/>
                          </a:prstTxWarp>
                          <a:noAutofit/>
                        </wps:bodyPr>
                      </wps:wsp>
                      <pic:pic>
                        <pic:nvPicPr>
                          <pic:cNvPr id="34" name="Image 34"/>
                          <pic:cNvPicPr/>
                        </pic:nvPicPr>
                        <pic:blipFill>
                          <a:blip r:embed="rId6" cstate="print"/>
                          <a:stretch>
                            <a:fillRect/>
                          </a:stretch>
                        </pic:blipFill>
                        <pic:spPr>
                          <a:xfrm>
                            <a:off x="0" y="559957"/>
                            <a:ext cx="7559040" cy="566928"/>
                          </a:xfrm>
                          <a:prstGeom prst="rect">
                            <a:avLst/>
                          </a:prstGeom>
                        </pic:spPr>
                      </pic:pic>
                      <wps:wsp>
                        <wps:cNvPr id="35" name="Textbox 35"/>
                        <wps:cNvSpPr txBox="1"/>
                        <wps:spPr>
                          <a:xfrm>
                            <a:off x="574871" y="208432"/>
                            <a:ext cx="356235" cy="299085"/>
                          </a:xfrm>
                          <a:prstGeom prst="rect">
                            <a:avLst/>
                          </a:prstGeom>
                        </wps:spPr>
                        <wps:txbx>
                          <w:txbxContent>
                            <w:p>
                              <w:pPr>
                                <w:spacing w:before="50"/>
                                <w:ind w:left="0" w:right="0" w:firstLine="0"/>
                                <w:jc w:val="left"/>
                                <w:rPr>
                                  <w:rFonts w:ascii="Arial MT"/>
                                  <w:sz w:val="34"/>
                                </w:rPr>
                              </w:pPr>
                              <w:r>
                                <w:rPr>
                                  <w:color w:val="FFFFFF"/>
                                  <w:spacing w:val="43"/>
                                  <w:w w:val="150"/>
                                  <w:sz w:val="34"/>
                                  <w:shd w:fill="054679" w:color="auto" w:val="clear"/>
                                </w:rPr>
                                <w:t> </w:t>
                              </w:r>
                              <w:r>
                                <w:rPr>
                                  <w:rFonts w:ascii="Arial MT"/>
                                  <w:color w:val="FFFFFF"/>
                                  <w:spacing w:val="-10"/>
                                  <w:w w:val="105"/>
                                  <w:sz w:val="34"/>
                                  <w:shd w:fill="054679" w:color="auto" w:val="clear"/>
                                </w:rPr>
                                <w:t>8</w:t>
                              </w:r>
                              <w:r>
                                <w:rPr>
                                  <w:rFonts w:ascii="Arial MT"/>
                                  <w:color w:val="FFFFFF"/>
                                  <w:spacing w:val="80"/>
                                  <w:w w:val="105"/>
                                  <w:sz w:val="34"/>
                                  <w:shd w:fill="054679" w:color="auto" w:val="clear"/>
                                </w:rPr>
                                <w:t> </w:t>
                              </w:r>
                            </w:p>
                          </w:txbxContent>
                        </wps:txbx>
                        <wps:bodyPr wrap="square" lIns="0" tIns="0" rIns="0" bIns="0" rtlCol="0">
                          <a:noAutofit/>
                        </wps:bodyPr>
                      </wps:wsp>
                      <wps:wsp>
                        <wps:cNvPr id="36" name="Textbox 36"/>
                        <wps:cNvSpPr txBox="1"/>
                        <wps:spPr>
                          <a:xfrm>
                            <a:off x="1146885" y="73646"/>
                            <a:ext cx="2540635" cy="495934"/>
                          </a:xfrm>
                          <a:prstGeom prst="rect">
                            <a:avLst/>
                          </a:prstGeom>
                        </wps:spPr>
                        <wps:txbx>
                          <w:txbxContent>
                            <w:p>
                              <w:pPr>
                                <w:spacing w:before="54"/>
                                <w:ind w:left="0" w:right="0" w:firstLine="0"/>
                                <w:jc w:val="left"/>
                                <w:rPr>
                                  <w:rFonts w:ascii="Arial MT"/>
                                  <w:sz w:val="37"/>
                                </w:rPr>
                              </w:pPr>
                              <w:r>
                                <w:rPr>
                                  <w:rFonts w:ascii="Arial MT"/>
                                  <w:color w:val="054679"/>
                                  <w:spacing w:val="-4"/>
                                  <w:w w:val="110"/>
                                  <w:sz w:val="37"/>
                                </w:rPr>
                                <w:t>repositorio.uap.edu.pe</w:t>
                              </w:r>
                            </w:p>
                            <w:p>
                              <w:pPr>
                                <w:spacing w:before="30"/>
                                <w:ind w:left="0" w:right="0" w:firstLine="0"/>
                                <w:jc w:val="left"/>
                                <w:rPr>
                                  <w:rFonts w:ascii="Arial MT"/>
                                  <w:sz w:val="22"/>
                                </w:rPr>
                              </w:pPr>
                              <w:r>
                                <w:rPr>
                                  <w:rFonts w:ascii="Arial MT"/>
                                  <w:color w:val="777777"/>
                                  <w:sz w:val="22"/>
                                </w:rPr>
                                <w:t>Fuente</w:t>
                              </w:r>
                              <w:r>
                                <w:rPr>
                                  <w:rFonts w:ascii="Arial MT"/>
                                  <w:color w:val="777777"/>
                                  <w:spacing w:val="9"/>
                                  <w:sz w:val="22"/>
                                </w:rPr>
                                <w:t> </w:t>
                              </w:r>
                              <w:r>
                                <w:rPr>
                                  <w:rFonts w:ascii="Arial MT"/>
                                  <w:color w:val="777777"/>
                                  <w:sz w:val="22"/>
                                </w:rPr>
                                <w:t>de</w:t>
                              </w:r>
                              <w:r>
                                <w:rPr>
                                  <w:rFonts w:ascii="Arial MT"/>
                                  <w:color w:val="777777"/>
                                  <w:spacing w:val="10"/>
                                  <w:sz w:val="22"/>
                                </w:rPr>
                                <w:t> </w:t>
                              </w:r>
                              <w:r>
                                <w:rPr>
                                  <w:rFonts w:ascii="Arial MT"/>
                                  <w:color w:val="777777"/>
                                  <w:spacing w:val="-2"/>
                                  <w:sz w:val="22"/>
                                </w:rPr>
                                <w:t>Internet</w:t>
                              </w:r>
                            </w:p>
                          </w:txbxContent>
                        </wps:txbx>
                        <wps:bodyPr wrap="square" lIns="0" tIns="0" rIns="0" bIns="0" rtlCol="0">
                          <a:noAutofit/>
                        </wps:bodyPr>
                      </wps:wsp>
                      <wps:wsp>
                        <wps:cNvPr id="37" name="Textbox 37"/>
                        <wps:cNvSpPr txBox="1"/>
                        <wps:spPr>
                          <a:xfrm>
                            <a:off x="6533345" y="0"/>
                            <a:ext cx="699135" cy="649605"/>
                          </a:xfrm>
                          <a:prstGeom prst="rect">
                            <a:avLst/>
                          </a:prstGeom>
                        </wps:spPr>
                        <wps:txbx>
                          <w:txbxContent>
                            <w:p>
                              <w:pPr>
                                <w:spacing w:before="99"/>
                                <w:ind w:left="0" w:right="0" w:firstLine="0"/>
                                <w:jc w:val="left"/>
                                <w:rPr>
                                  <w:rFonts w:ascii="Arial MT"/>
                                  <w:sz w:val="36"/>
                                </w:rPr>
                              </w:pPr>
                              <w:r>
                                <w:rPr>
                                  <w:rFonts w:ascii="Arial MT"/>
                                  <w:color w:val="333333"/>
                                  <w:spacing w:val="-5"/>
                                  <w:sz w:val="60"/>
                                </w:rPr>
                                <w:t>&lt;</w:t>
                              </w:r>
                              <w:r>
                                <w:rPr>
                                  <w:rFonts w:ascii="Arial MT"/>
                                  <w:color w:val="333333"/>
                                  <w:spacing w:val="-5"/>
                                  <w:sz w:val="75"/>
                                </w:rPr>
                                <w:t>1</w:t>
                              </w:r>
                              <w:r>
                                <w:rPr>
                                  <w:rFonts w:ascii="Arial MT"/>
                                  <w:color w:val="333333"/>
                                  <w:spacing w:val="-5"/>
                                  <w:sz w:val="36"/>
                                </w:rPr>
                                <w:t>%</w:t>
                              </w:r>
                            </w:p>
                          </w:txbxContent>
                        </wps:txbx>
                        <wps:bodyPr wrap="square" lIns="0" tIns="0" rIns="0" bIns="0" rtlCol="0">
                          <a:noAutofit/>
                        </wps:bodyPr>
                      </wps:wsp>
                    </wpg:wgp>
                  </a:graphicData>
                </a:graphic>
              </wp:anchor>
            </w:drawing>
          </mc:Choice>
          <mc:Fallback>
            <w:pict>
              <v:group style="position:absolute;margin-left:0pt;margin-top:703.268799pt;width:595.2pt;height:88.75pt;mso-position-horizontal-relative:page;mso-position-vertical-relative:page;z-index:15738368" id="docshapegroup29" coordorigin="0,14065" coordsize="11904,1775">
                <v:rect style="position:absolute;left:680;top:15198;width:10690;height:16" id="docshape30" filled="true" fillcolor="#999999" stroked="false">
                  <v:fill type="solid"/>
                </v:rect>
                <v:shape style="position:absolute;left:0;top:14947;width:11904;height:893" type="#_x0000_t75" id="docshape31" stroked="false">
                  <v:imagedata r:id="rId6" o:title=""/>
                </v:shape>
                <v:shape style="position:absolute;left:905;top:14393;width:561;height:471" type="#_x0000_t202" id="docshape32" filled="false" stroked="false">
                  <v:textbox inset="0,0,0,0">
                    <w:txbxContent>
                      <w:p>
                        <w:pPr>
                          <w:spacing w:before="50"/>
                          <w:ind w:left="0" w:right="0" w:firstLine="0"/>
                          <w:jc w:val="left"/>
                          <w:rPr>
                            <w:rFonts w:ascii="Arial MT"/>
                            <w:sz w:val="34"/>
                          </w:rPr>
                        </w:pPr>
                        <w:r>
                          <w:rPr>
                            <w:color w:val="FFFFFF"/>
                            <w:spacing w:val="43"/>
                            <w:w w:val="150"/>
                            <w:sz w:val="34"/>
                            <w:shd w:fill="054679" w:color="auto" w:val="clear"/>
                          </w:rPr>
                          <w:t> </w:t>
                        </w:r>
                        <w:r>
                          <w:rPr>
                            <w:rFonts w:ascii="Arial MT"/>
                            <w:color w:val="FFFFFF"/>
                            <w:spacing w:val="-10"/>
                            <w:w w:val="105"/>
                            <w:sz w:val="34"/>
                            <w:shd w:fill="054679" w:color="auto" w:val="clear"/>
                          </w:rPr>
                          <w:t>8</w:t>
                        </w:r>
                        <w:r>
                          <w:rPr>
                            <w:rFonts w:ascii="Arial MT"/>
                            <w:color w:val="FFFFFF"/>
                            <w:spacing w:val="80"/>
                            <w:w w:val="105"/>
                            <w:sz w:val="34"/>
                            <w:shd w:fill="054679" w:color="auto" w:val="clear"/>
                          </w:rPr>
                          <w:t> </w:t>
                        </w:r>
                      </w:p>
                    </w:txbxContent>
                  </v:textbox>
                  <w10:wrap type="none"/>
                </v:shape>
                <v:shape style="position:absolute;left:1806;top:14181;width:4001;height:781" type="#_x0000_t202" id="docshape33" filled="false" stroked="false">
                  <v:textbox inset="0,0,0,0">
                    <w:txbxContent>
                      <w:p>
                        <w:pPr>
                          <w:spacing w:before="54"/>
                          <w:ind w:left="0" w:right="0" w:firstLine="0"/>
                          <w:jc w:val="left"/>
                          <w:rPr>
                            <w:rFonts w:ascii="Arial MT"/>
                            <w:sz w:val="37"/>
                          </w:rPr>
                        </w:pPr>
                        <w:r>
                          <w:rPr>
                            <w:rFonts w:ascii="Arial MT"/>
                            <w:color w:val="054679"/>
                            <w:spacing w:val="-4"/>
                            <w:w w:val="110"/>
                            <w:sz w:val="37"/>
                          </w:rPr>
                          <w:t>repositorio.uap.edu.pe</w:t>
                        </w:r>
                      </w:p>
                      <w:p>
                        <w:pPr>
                          <w:spacing w:before="30"/>
                          <w:ind w:left="0" w:right="0" w:firstLine="0"/>
                          <w:jc w:val="left"/>
                          <w:rPr>
                            <w:rFonts w:ascii="Arial MT"/>
                            <w:sz w:val="22"/>
                          </w:rPr>
                        </w:pPr>
                        <w:r>
                          <w:rPr>
                            <w:rFonts w:ascii="Arial MT"/>
                            <w:color w:val="777777"/>
                            <w:sz w:val="22"/>
                          </w:rPr>
                          <w:t>Fuente</w:t>
                        </w:r>
                        <w:r>
                          <w:rPr>
                            <w:rFonts w:ascii="Arial MT"/>
                            <w:color w:val="777777"/>
                            <w:spacing w:val="9"/>
                            <w:sz w:val="22"/>
                          </w:rPr>
                          <w:t> </w:t>
                        </w:r>
                        <w:r>
                          <w:rPr>
                            <w:rFonts w:ascii="Arial MT"/>
                            <w:color w:val="777777"/>
                            <w:sz w:val="22"/>
                          </w:rPr>
                          <w:t>de</w:t>
                        </w:r>
                        <w:r>
                          <w:rPr>
                            <w:rFonts w:ascii="Arial MT"/>
                            <w:color w:val="777777"/>
                            <w:spacing w:val="10"/>
                            <w:sz w:val="22"/>
                          </w:rPr>
                          <w:t> </w:t>
                        </w:r>
                        <w:r>
                          <w:rPr>
                            <w:rFonts w:ascii="Arial MT"/>
                            <w:color w:val="777777"/>
                            <w:spacing w:val="-2"/>
                            <w:sz w:val="22"/>
                          </w:rPr>
                          <w:t>Internet</w:t>
                        </w:r>
                      </w:p>
                    </w:txbxContent>
                  </v:textbox>
                  <w10:wrap type="none"/>
                </v:shape>
                <v:shape style="position:absolute;left:10288;top:14065;width:1101;height:1023" type="#_x0000_t202" id="docshape34" filled="false" stroked="false">
                  <v:textbox inset="0,0,0,0">
                    <w:txbxContent>
                      <w:p>
                        <w:pPr>
                          <w:spacing w:before="99"/>
                          <w:ind w:left="0" w:right="0" w:firstLine="0"/>
                          <w:jc w:val="left"/>
                          <w:rPr>
                            <w:rFonts w:ascii="Arial MT"/>
                            <w:sz w:val="36"/>
                          </w:rPr>
                        </w:pPr>
                        <w:r>
                          <w:rPr>
                            <w:rFonts w:ascii="Arial MT"/>
                            <w:color w:val="333333"/>
                            <w:spacing w:val="-5"/>
                            <w:sz w:val="60"/>
                          </w:rPr>
                          <w:t>&lt;</w:t>
                        </w:r>
                        <w:r>
                          <w:rPr>
                            <w:rFonts w:ascii="Arial MT"/>
                            <w:color w:val="333333"/>
                            <w:spacing w:val="-5"/>
                            <w:sz w:val="75"/>
                          </w:rPr>
                          <w:t>1</w:t>
                        </w:r>
                        <w:r>
                          <w:rPr>
                            <w:rFonts w:ascii="Arial MT"/>
                            <w:color w:val="333333"/>
                            <w:spacing w:val="-5"/>
                            <w:sz w:val="36"/>
                          </w:rPr>
                          <w:t>%</w:t>
                        </w:r>
                      </w:p>
                    </w:txbxContent>
                  </v:textbox>
                  <w10:wrap type="none"/>
                </v:shape>
                <w10:wrap type="none"/>
              </v:group>
            </w:pict>
          </mc:Fallback>
        </mc:AlternateContent>
      </w:r>
      <w:r>
        <w:rPr>
          <w:rFonts w:ascii="Arial MT"/>
          <w:sz w:val="37"/>
        </w:rPr>
        <w:drawing>
          <wp:anchor distT="0" distB="0" distL="0" distR="0" allowOverlap="1" layoutInCell="1" locked="0" behindDoc="0" simplePos="0" relativeHeight="15742464">
            <wp:simplePos x="0" y="0"/>
            <wp:positionH relativeFrom="page">
              <wp:posOffset>0</wp:posOffset>
            </wp:positionH>
            <wp:positionV relativeFrom="page">
              <wp:posOffset>0</wp:posOffset>
            </wp:positionV>
            <wp:extent cx="7559040" cy="858265"/>
            <wp:effectExtent l="0" t="0" r="0" b="0"/>
            <wp:wrapNone/>
            <wp:docPr id="38" name="Image 38"/>
            <wp:cNvGraphicFramePr>
              <a:graphicFrameLocks/>
            </wp:cNvGraphicFramePr>
            <a:graphic>
              <a:graphicData uri="http://schemas.openxmlformats.org/drawingml/2006/picture">
                <pic:pic>
                  <pic:nvPicPr>
                    <pic:cNvPr id="38" name="Image 38"/>
                    <pic:cNvPicPr/>
                  </pic:nvPicPr>
                  <pic:blipFill>
                    <a:blip r:embed="rId5" cstate="print"/>
                    <a:stretch>
                      <a:fillRect/>
                    </a:stretch>
                  </pic:blipFill>
                  <pic:spPr>
                    <a:xfrm>
                      <a:off x="0" y="0"/>
                      <a:ext cx="7559040" cy="858265"/>
                    </a:xfrm>
                    <a:prstGeom prst="rect">
                      <a:avLst/>
                    </a:prstGeom>
                  </pic:spPr>
                </pic:pic>
              </a:graphicData>
            </a:graphic>
          </wp:anchor>
        </w:drawing>
      </w:r>
      <w:r>
        <w:rPr>
          <w:color w:val="FFFFFF"/>
          <w:spacing w:val="40"/>
          <w:w w:val="110"/>
          <w:position w:val="-17"/>
          <w:sz w:val="34"/>
          <w:highlight w:val="red"/>
        </w:rPr>
        <w:t> </w:t>
      </w:r>
      <w:r>
        <w:rPr>
          <w:rFonts w:ascii="Arial MT"/>
          <w:color w:val="FFFFFF"/>
          <w:w w:val="110"/>
          <w:position w:val="-17"/>
          <w:sz w:val="34"/>
          <w:highlight w:val="red"/>
        </w:rPr>
        <w:t>1</w:t>
      </w:r>
      <w:r>
        <w:rPr>
          <w:rFonts w:ascii="Arial MT"/>
          <w:color w:val="FFFFFF"/>
          <w:spacing w:val="40"/>
          <w:w w:val="110"/>
          <w:position w:val="-17"/>
          <w:sz w:val="34"/>
          <w:highlight w:val="red"/>
        </w:rPr>
        <w:t> </w:t>
      </w:r>
      <w:r>
        <w:rPr>
          <w:rFonts w:ascii="Arial MT"/>
          <w:color w:val="FFFFFF"/>
          <w:position w:val="-17"/>
          <w:sz w:val="34"/>
        </w:rPr>
        <w:tab/>
      </w:r>
      <w:r>
        <w:rPr>
          <w:rFonts w:ascii="Arial MT"/>
          <w:color w:val="FF0000"/>
          <w:spacing w:val="-4"/>
          <w:w w:val="110"/>
          <w:sz w:val="37"/>
        </w:rPr>
        <w:t>Submitted</w:t>
      </w:r>
      <w:r>
        <w:rPr>
          <w:rFonts w:ascii="Arial MT"/>
          <w:color w:val="FF0000"/>
          <w:spacing w:val="-23"/>
          <w:w w:val="110"/>
          <w:sz w:val="37"/>
        </w:rPr>
        <w:t> </w:t>
      </w:r>
      <w:r>
        <w:rPr>
          <w:rFonts w:ascii="Arial MT"/>
          <w:color w:val="FF0000"/>
          <w:spacing w:val="-4"/>
          <w:w w:val="110"/>
          <w:sz w:val="37"/>
        </w:rPr>
        <w:t>to</w:t>
      </w:r>
      <w:r>
        <w:rPr>
          <w:rFonts w:ascii="Arial MT"/>
          <w:color w:val="FF0000"/>
          <w:spacing w:val="-19"/>
          <w:w w:val="110"/>
          <w:sz w:val="37"/>
        </w:rPr>
        <w:t> </w:t>
      </w:r>
      <w:r>
        <w:rPr>
          <w:rFonts w:ascii="Arial MT"/>
          <w:color w:val="FF0000"/>
          <w:spacing w:val="-4"/>
          <w:w w:val="110"/>
          <w:sz w:val="37"/>
        </w:rPr>
        <w:t>Universidad</w:t>
      </w:r>
      <w:r>
        <w:rPr>
          <w:rFonts w:ascii="Arial MT"/>
          <w:color w:val="FF0000"/>
          <w:spacing w:val="-23"/>
          <w:w w:val="110"/>
          <w:sz w:val="37"/>
        </w:rPr>
        <w:t> </w:t>
      </w:r>
      <w:r>
        <w:rPr>
          <w:rFonts w:ascii="Arial MT"/>
          <w:color w:val="FF0000"/>
          <w:spacing w:val="-4"/>
          <w:w w:val="110"/>
          <w:sz w:val="37"/>
        </w:rPr>
        <w:t>Andina</w:t>
      </w:r>
      <w:r>
        <w:rPr>
          <w:rFonts w:ascii="Arial MT"/>
          <w:color w:val="FF0000"/>
          <w:spacing w:val="-18"/>
          <w:w w:val="110"/>
          <w:sz w:val="37"/>
        </w:rPr>
        <w:t> </w:t>
      </w:r>
      <w:r>
        <w:rPr>
          <w:rFonts w:ascii="Arial MT"/>
          <w:color w:val="FF0000"/>
          <w:spacing w:val="-4"/>
          <w:w w:val="110"/>
          <w:sz w:val="37"/>
        </w:rPr>
        <w:t>Nestor </w:t>
      </w:r>
      <w:r>
        <w:rPr>
          <w:rFonts w:ascii="Arial MT"/>
          <w:color w:val="FF0000"/>
          <w:sz w:val="37"/>
        </w:rPr>
        <w:t>Caceres Velasquez</w:t>
      </w:r>
    </w:p>
    <w:p>
      <w:pPr>
        <w:spacing w:before="42"/>
        <w:ind w:left="956" w:right="0" w:firstLine="0"/>
        <w:jc w:val="left"/>
        <w:rPr>
          <w:rFonts w:ascii="Arial MT"/>
          <w:sz w:val="22"/>
        </w:rPr>
      </w:pPr>
      <w:r>
        <w:rPr>
          <w:rFonts w:ascii="Arial MT"/>
          <w:color w:val="777777"/>
          <w:sz w:val="22"/>
        </w:rPr>
        <w:t>Trabajo</w:t>
      </w:r>
      <w:r>
        <w:rPr>
          <w:rFonts w:ascii="Arial MT"/>
          <w:color w:val="777777"/>
          <w:spacing w:val="12"/>
          <w:sz w:val="22"/>
        </w:rPr>
        <w:t> </w:t>
      </w:r>
      <w:r>
        <w:rPr>
          <w:rFonts w:ascii="Arial MT"/>
          <w:color w:val="777777"/>
          <w:sz w:val="22"/>
        </w:rPr>
        <w:t>del</w:t>
      </w:r>
      <w:r>
        <w:rPr>
          <w:rFonts w:ascii="Arial MT"/>
          <w:color w:val="777777"/>
          <w:spacing w:val="15"/>
          <w:sz w:val="22"/>
        </w:rPr>
        <w:t> </w:t>
      </w:r>
      <w:r>
        <w:rPr>
          <w:rFonts w:ascii="Arial MT"/>
          <w:color w:val="777777"/>
          <w:spacing w:val="-2"/>
          <w:sz w:val="22"/>
        </w:rPr>
        <w:t>estudiante</w:t>
      </w:r>
    </w:p>
    <w:p>
      <w:pPr>
        <w:pStyle w:val="BodyText"/>
        <w:spacing w:before="164"/>
        <w:rPr>
          <w:rFonts w:ascii="Arial MT"/>
          <w:sz w:val="22"/>
        </w:rPr>
      </w:pPr>
    </w:p>
    <w:p>
      <w:pPr>
        <w:spacing w:before="0"/>
        <w:ind w:left="956" w:right="0" w:firstLine="0"/>
        <w:jc w:val="left"/>
        <w:rPr>
          <w:rFonts w:ascii="Arial MT"/>
          <w:sz w:val="37"/>
        </w:rPr>
      </w:pPr>
      <w:r>
        <w:rPr>
          <w:rFonts w:ascii="Arial MT"/>
          <w:sz w:val="37"/>
        </w:rPr>
        <mc:AlternateContent>
          <mc:Choice Requires="wps">
            <w:drawing>
              <wp:anchor distT="0" distB="0" distL="0" distR="0" allowOverlap="1" layoutInCell="1" locked="0" behindDoc="0" simplePos="0" relativeHeight="15739392">
                <wp:simplePos x="0" y="0"/>
                <wp:positionH relativeFrom="page">
                  <wp:posOffset>574871</wp:posOffset>
                </wp:positionH>
                <wp:positionV relativeFrom="paragraph">
                  <wp:posOffset>100696</wp:posOffset>
                </wp:positionV>
                <wp:extent cx="343535" cy="299085"/>
                <wp:effectExtent l="0" t="0" r="0" b="0"/>
                <wp:wrapNone/>
                <wp:docPr id="39" name="Textbox 39"/>
                <wp:cNvGraphicFramePr>
                  <a:graphicFrameLocks/>
                </wp:cNvGraphicFramePr>
                <a:graphic>
                  <a:graphicData uri="http://schemas.microsoft.com/office/word/2010/wordprocessingShape">
                    <wps:wsp>
                      <wps:cNvPr id="39" name="Textbox 39"/>
                      <wps:cNvSpPr txBox="1"/>
                      <wps:spPr>
                        <a:xfrm>
                          <a:off x="0" y="0"/>
                          <a:ext cx="343535" cy="299085"/>
                        </a:xfrm>
                        <a:prstGeom prst="rect">
                          <a:avLst/>
                        </a:prstGeom>
                      </wps:spPr>
                      <wps:txbx>
                        <w:txbxContent>
                          <w:p>
                            <w:pPr>
                              <w:spacing w:before="50"/>
                              <w:ind w:left="0" w:right="0" w:firstLine="0"/>
                              <w:jc w:val="left"/>
                              <w:rPr>
                                <w:rFonts w:ascii="Arial MT"/>
                                <w:sz w:val="34"/>
                              </w:rPr>
                            </w:pPr>
                            <w:r>
                              <w:rPr>
                                <w:color w:val="FFFFFF"/>
                                <w:spacing w:val="43"/>
                                <w:w w:val="150"/>
                                <w:sz w:val="34"/>
                                <w:shd w:fill="E70CD6" w:color="auto" w:val="clear"/>
                              </w:rPr>
                              <w:t> </w:t>
                            </w:r>
                            <w:r>
                              <w:rPr>
                                <w:rFonts w:ascii="Arial MT"/>
                                <w:color w:val="FFFFFF"/>
                                <w:spacing w:val="-10"/>
                                <w:w w:val="105"/>
                                <w:sz w:val="34"/>
                                <w:shd w:fill="E70CD6" w:color="auto" w:val="clear"/>
                              </w:rPr>
                              <w:t>2</w:t>
                            </w:r>
                            <w:r>
                              <w:rPr>
                                <w:rFonts w:ascii="Arial MT"/>
                                <w:color w:val="FFFFFF"/>
                                <w:spacing w:val="80"/>
                                <w:w w:val="105"/>
                                <w:sz w:val="34"/>
                                <w:shd w:fill="E70CD6" w:color="auto" w:val="clear"/>
                              </w:rPr>
                              <w:t> </w:t>
                            </w:r>
                          </w:p>
                        </w:txbxContent>
                      </wps:txbx>
                      <wps:bodyPr wrap="square" lIns="0" tIns="0" rIns="0" bIns="0" rtlCol="0">
                        <a:noAutofit/>
                      </wps:bodyPr>
                    </wps:wsp>
                  </a:graphicData>
                </a:graphic>
              </wp:anchor>
            </w:drawing>
          </mc:Choice>
          <mc:Fallback>
            <w:pict>
              <v:shape style="position:absolute;margin-left:45.265495pt;margin-top:7.928822pt;width:27.05pt;height:23.55pt;mso-position-horizontal-relative:page;mso-position-vertical-relative:paragraph;z-index:15739392" type="#_x0000_t202" id="docshape35" filled="false" stroked="false">
                <v:textbox inset="0,0,0,0">
                  <w:txbxContent>
                    <w:p>
                      <w:pPr>
                        <w:spacing w:before="50"/>
                        <w:ind w:left="0" w:right="0" w:firstLine="0"/>
                        <w:jc w:val="left"/>
                        <w:rPr>
                          <w:rFonts w:ascii="Arial MT"/>
                          <w:sz w:val="34"/>
                        </w:rPr>
                      </w:pPr>
                      <w:r>
                        <w:rPr>
                          <w:color w:val="FFFFFF"/>
                          <w:spacing w:val="43"/>
                          <w:w w:val="150"/>
                          <w:sz w:val="34"/>
                          <w:shd w:fill="E70CD6" w:color="auto" w:val="clear"/>
                        </w:rPr>
                        <w:t> </w:t>
                      </w:r>
                      <w:r>
                        <w:rPr>
                          <w:rFonts w:ascii="Arial MT"/>
                          <w:color w:val="FFFFFF"/>
                          <w:spacing w:val="-10"/>
                          <w:w w:val="105"/>
                          <w:sz w:val="34"/>
                          <w:shd w:fill="E70CD6" w:color="auto" w:val="clear"/>
                        </w:rPr>
                        <w:t>2</w:t>
                      </w:r>
                      <w:r>
                        <w:rPr>
                          <w:rFonts w:ascii="Arial MT"/>
                          <w:color w:val="FFFFFF"/>
                          <w:spacing w:val="80"/>
                          <w:w w:val="105"/>
                          <w:sz w:val="34"/>
                          <w:shd w:fill="E70CD6" w:color="auto" w:val="clear"/>
                        </w:rPr>
                        <w:t> </w:t>
                      </w:r>
                    </w:p>
                  </w:txbxContent>
                </v:textbox>
                <w10:wrap type="none"/>
              </v:shape>
            </w:pict>
          </mc:Fallback>
        </mc:AlternateContent>
      </w:r>
      <w:r>
        <w:rPr>
          <w:rFonts w:ascii="Arial MT"/>
          <w:color w:val="E70CD6"/>
          <w:spacing w:val="-2"/>
          <w:w w:val="110"/>
          <w:sz w:val="37"/>
        </w:rPr>
        <w:t>hdl.handle.net</w:t>
      </w:r>
    </w:p>
    <w:p>
      <w:pPr>
        <w:spacing w:before="31"/>
        <w:ind w:left="956" w:right="0" w:firstLine="0"/>
        <w:jc w:val="left"/>
        <w:rPr>
          <w:rFonts w:ascii="Arial MT"/>
          <w:sz w:val="22"/>
        </w:rPr>
      </w:pPr>
      <w:r>
        <w:rPr>
          <w:rFonts w:ascii="Arial MT"/>
          <w:color w:val="777777"/>
          <w:sz w:val="22"/>
        </w:rPr>
        <w:t>Fuente</w:t>
      </w:r>
      <w:r>
        <w:rPr>
          <w:rFonts w:ascii="Arial MT"/>
          <w:color w:val="777777"/>
          <w:spacing w:val="9"/>
          <w:sz w:val="22"/>
        </w:rPr>
        <w:t> </w:t>
      </w:r>
      <w:r>
        <w:rPr>
          <w:rFonts w:ascii="Arial MT"/>
          <w:color w:val="777777"/>
          <w:sz w:val="22"/>
        </w:rPr>
        <w:t>de</w:t>
      </w:r>
      <w:r>
        <w:rPr>
          <w:rFonts w:ascii="Arial MT"/>
          <w:color w:val="777777"/>
          <w:spacing w:val="10"/>
          <w:sz w:val="22"/>
        </w:rPr>
        <w:t> </w:t>
      </w:r>
      <w:r>
        <w:rPr>
          <w:rFonts w:ascii="Arial MT"/>
          <w:color w:val="777777"/>
          <w:spacing w:val="-2"/>
          <w:sz w:val="22"/>
        </w:rPr>
        <w:t>Internet</w:t>
      </w:r>
    </w:p>
    <w:p>
      <w:pPr>
        <w:pStyle w:val="BodyText"/>
        <w:rPr>
          <w:rFonts w:ascii="Arial MT"/>
          <w:sz w:val="22"/>
        </w:rPr>
      </w:pPr>
    </w:p>
    <w:p>
      <w:pPr>
        <w:pStyle w:val="BodyText"/>
        <w:spacing w:before="1"/>
        <w:rPr>
          <w:rFonts w:ascii="Arial MT"/>
          <w:sz w:val="22"/>
        </w:rPr>
      </w:pPr>
    </w:p>
    <w:p>
      <w:pPr>
        <w:spacing w:before="0"/>
        <w:ind w:left="956" w:right="0" w:firstLine="0"/>
        <w:jc w:val="left"/>
        <w:rPr>
          <w:rFonts w:ascii="Arial MT"/>
          <w:sz w:val="37"/>
        </w:rPr>
      </w:pPr>
      <w:r>
        <w:rPr>
          <w:rFonts w:ascii="Arial MT"/>
          <w:sz w:val="37"/>
        </w:rPr>
        <mc:AlternateContent>
          <mc:Choice Requires="wps">
            <w:drawing>
              <wp:anchor distT="0" distB="0" distL="0" distR="0" allowOverlap="1" layoutInCell="1" locked="0" behindDoc="0" simplePos="0" relativeHeight="15739904">
                <wp:simplePos x="0" y="0"/>
                <wp:positionH relativeFrom="page">
                  <wp:posOffset>574871</wp:posOffset>
                </wp:positionH>
                <wp:positionV relativeFrom="paragraph">
                  <wp:posOffset>100500</wp:posOffset>
                </wp:positionV>
                <wp:extent cx="343535" cy="299085"/>
                <wp:effectExtent l="0" t="0" r="0" b="0"/>
                <wp:wrapNone/>
                <wp:docPr id="40" name="Textbox 40"/>
                <wp:cNvGraphicFramePr>
                  <a:graphicFrameLocks/>
                </wp:cNvGraphicFramePr>
                <a:graphic>
                  <a:graphicData uri="http://schemas.microsoft.com/office/word/2010/wordprocessingShape">
                    <wps:wsp>
                      <wps:cNvPr id="40" name="Textbox 40"/>
                      <wps:cNvSpPr txBox="1"/>
                      <wps:spPr>
                        <a:xfrm>
                          <a:off x="0" y="0"/>
                          <a:ext cx="343535" cy="299085"/>
                        </a:xfrm>
                        <a:prstGeom prst="rect">
                          <a:avLst/>
                        </a:prstGeom>
                      </wps:spPr>
                      <wps:txbx>
                        <w:txbxContent>
                          <w:p>
                            <w:pPr>
                              <w:spacing w:before="50"/>
                              <w:ind w:left="0" w:right="0" w:firstLine="0"/>
                              <w:jc w:val="left"/>
                              <w:rPr>
                                <w:rFonts w:ascii="Arial MT"/>
                                <w:sz w:val="34"/>
                              </w:rPr>
                            </w:pPr>
                            <w:r>
                              <w:rPr>
                                <w:color w:val="FFFFFF"/>
                                <w:spacing w:val="43"/>
                                <w:w w:val="150"/>
                                <w:sz w:val="34"/>
                                <w:shd w:fill="8B05FF" w:color="auto" w:val="clear"/>
                              </w:rPr>
                              <w:t> </w:t>
                            </w:r>
                            <w:r>
                              <w:rPr>
                                <w:rFonts w:ascii="Arial MT"/>
                                <w:color w:val="FFFFFF"/>
                                <w:spacing w:val="-10"/>
                                <w:w w:val="105"/>
                                <w:sz w:val="34"/>
                                <w:shd w:fill="8B05FF" w:color="auto" w:val="clear"/>
                              </w:rPr>
                              <w:t>3</w:t>
                            </w:r>
                            <w:r>
                              <w:rPr>
                                <w:rFonts w:ascii="Arial MT"/>
                                <w:color w:val="FFFFFF"/>
                                <w:spacing w:val="80"/>
                                <w:w w:val="105"/>
                                <w:sz w:val="34"/>
                                <w:shd w:fill="8B05FF" w:color="auto" w:val="clear"/>
                              </w:rPr>
                              <w:t> </w:t>
                            </w:r>
                          </w:p>
                        </w:txbxContent>
                      </wps:txbx>
                      <wps:bodyPr wrap="square" lIns="0" tIns="0" rIns="0" bIns="0" rtlCol="0">
                        <a:noAutofit/>
                      </wps:bodyPr>
                    </wps:wsp>
                  </a:graphicData>
                </a:graphic>
              </wp:anchor>
            </w:drawing>
          </mc:Choice>
          <mc:Fallback>
            <w:pict>
              <v:shape style="position:absolute;margin-left:45.265495pt;margin-top:7.913428pt;width:27.05pt;height:23.55pt;mso-position-horizontal-relative:page;mso-position-vertical-relative:paragraph;z-index:15739904" type="#_x0000_t202" id="docshape36" filled="false" stroked="false">
                <v:textbox inset="0,0,0,0">
                  <w:txbxContent>
                    <w:p>
                      <w:pPr>
                        <w:spacing w:before="50"/>
                        <w:ind w:left="0" w:right="0" w:firstLine="0"/>
                        <w:jc w:val="left"/>
                        <w:rPr>
                          <w:rFonts w:ascii="Arial MT"/>
                          <w:sz w:val="34"/>
                        </w:rPr>
                      </w:pPr>
                      <w:r>
                        <w:rPr>
                          <w:color w:val="FFFFFF"/>
                          <w:spacing w:val="43"/>
                          <w:w w:val="150"/>
                          <w:sz w:val="34"/>
                          <w:shd w:fill="8B05FF" w:color="auto" w:val="clear"/>
                        </w:rPr>
                        <w:t> </w:t>
                      </w:r>
                      <w:r>
                        <w:rPr>
                          <w:rFonts w:ascii="Arial MT"/>
                          <w:color w:val="FFFFFF"/>
                          <w:spacing w:val="-10"/>
                          <w:w w:val="105"/>
                          <w:sz w:val="34"/>
                          <w:shd w:fill="8B05FF" w:color="auto" w:val="clear"/>
                        </w:rPr>
                        <w:t>3</w:t>
                      </w:r>
                      <w:r>
                        <w:rPr>
                          <w:rFonts w:ascii="Arial MT"/>
                          <w:color w:val="FFFFFF"/>
                          <w:spacing w:val="80"/>
                          <w:w w:val="105"/>
                          <w:sz w:val="34"/>
                          <w:shd w:fill="8B05FF" w:color="auto" w:val="clear"/>
                        </w:rPr>
                        <w:t> </w:t>
                      </w:r>
                    </w:p>
                  </w:txbxContent>
                </v:textbox>
                <w10:wrap type="none"/>
              </v:shape>
            </w:pict>
          </mc:Fallback>
        </mc:AlternateContent>
      </w:r>
      <w:r>
        <w:rPr>
          <w:rFonts w:ascii="Arial MT"/>
          <w:color w:val="8B05FF"/>
          <w:spacing w:val="-2"/>
          <w:w w:val="110"/>
          <w:sz w:val="37"/>
        </w:rPr>
        <w:t>repositorio.ucv.edu.pe</w:t>
      </w:r>
    </w:p>
    <w:p>
      <w:pPr>
        <w:spacing w:before="30"/>
        <w:ind w:left="956" w:right="0" w:firstLine="0"/>
        <w:jc w:val="left"/>
        <w:rPr>
          <w:rFonts w:ascii="Arial MT"/>
          <w:sz w:val="22"/>
        </w:rPr>
      </w:pPr>
      <w:r>
        <w:rPr>
          <w:rFonts w:ascii="Arial MT"/>
          <w:color w:val="777777"/>
          <w:sz w:val="22"/>
        </w:rPr>
        <w:t>Fuente</w:t>
      </w:r>
      <w:r>
        <w:rPr>
          <w:rFonts w:ascii="Arial MT"/>
          <w:color w:val="777777"/>
          <w:spacing w:val="9"/>
          <w:sz w:val="22"/>
        </w:rPr>
        <w:t> </w:t>
      </w:r>
      <w:r>
        <w:rPr>
          <w:rFonts w:ascii="Arial MT"/>
          <w:color w:val="777777"/>
          <w:sz w:val="22"/>
        </w:rPr>
        <w:t>de</w:t>
      </w:r>
      <w:r>
        <w:rPr>
          <w:rFonts w:ascii="Arial MT"/>
          <w:color w:val="777777"/>
          <w:spacing w:val="10"/>
          <w:sz w:val="22"/>
        </w:rPr>
        <w:t> </w:t>
      </w:r>
      <w:r>
        <w:rPr>
          <w:rFonts w:ascii="Arial MT"/>
          <w:color w:val="777777"/>
          <w:spacing w:val="-2"/>
          <w:sz w:val="22"/>
        </w:rPr>
        <w:t>Internet</w:t>
      </w:r>
    </w:p>
    <w:p>
      <w:pPr>
        <w:pStyle w:val="BodyText"/>
        <w:rPr>
          <w:rFonts w:ascii="Arial MT"/>
          <w:sz w:val="22"/>
        </w:rPr>
      </w:pPr>
    </w:p>
    <w:p>
      <w:pPr>
        <w:pStyle w:val="BodyText"/>
        <w:spacing w:before="1"/>
        <w:rPr>
          <w:rFonts w:ascii="Arial MT"/>
          <w:sz w:val="22"/>
        </w:rPr>
      </w:pPr>
    </w:p>
    <w:p>
      <w:pPr>
        <w:spacing w:before="1"/>
        <w:ind w:left="956" w:right="0" w:firstLine="0"/>
        <w:jc w:val="left"/>
        <w:rPr>
          <w:rFonts w:ascii="Arial MT"/>
          <w:sz w:val="37"/>
        </w:rPr>
      </w:pPr>
      <w:r>
        <w:rPr>
          <w:rFonts w:ascii="Arial MT"/>
          <w:sz w:val="37"/>
        </w:rPr>
        <mc:AlternateContent>
          <mc:Choice Requires="wps">
            <w:drawing>
              <wp:anchor distT="0" distB="0" distL="0" distR="0" allowOverlap="1" layoutInCell="1" locked="0" behindDoc="0" simplePos="0" relativeHeight="15740416">
                <wp:simplePos x="0" y="0"/>
                <wp:positionH relativeFrom="page">
                  <wp:posOffset>574871</wp:posOffset>
                </wp:positionH>
                <wp:positionV relativeFrom="paragraph">
                  <wp:posOffset>100940</wp:posOffset>
                </wp:positionV>
                <wp:extent cx="343535" cy="299085"/>
                <wp:effectExtent l="0" t="0" r="0" b="0"/>
                <wp:wrapNone/>
                <wp:docPr id="41" name="Textbox 41"/>
                <wp:cNvGraphicFramePr>
                  <a:graphicFrameLocks/>
                </wp:cNvGraphicFramePr>
                <a:graphic>
                  <a:graphicData uri="http://schemas.microsoft.com/office/word/2010/wordprocessingShape">
                    <wps:wsp>
                      <wps:cNvPr id="41" name="Textbox 41"/>
                      <wps:cNvSpPr txBox="1"/>
                      <wps:spPr>
                        <a:xfrm>
                          <a:off x="0" y="0"/>
                          <a:ext cx="343535" cy="299085"/>
                        </a:xfrm>
                        <a:prstGeom prst="rect">
                          <a:avLst/>
                        </a:prstGeom>
                      </wps:spPr>
                      <wps:txbx>
                        <w:txbxContent>
                          <w:p>
                            <w:pPr>
                              <w:spacing w:before="50"/>
                              <w:ind w:left="0" w:right="0" w:firstLine="0"/>
                              <w:jc w:val="left"/>
                              <w:rPr>
                                <w:rFonts w:ascii="Arial MT"/>
                                <w:sz w:val="34"/>
                              </w:rPr>
                            </w:pPr>
                            <w:r>
                              <w:rPr>
                                <w:color w:val="FFFFFF"/>
                                <w:spacing w:val="43"/>
                                <w:w w:val="150"/>
                                <w:sz w:val="34"/>
                                <w:shd w:fill="00AAAA" w:color="auto" w:val="clear"/>
                              </w:rPr>
                              <w:t> </w:t>
                            </w:r>
                            <w:r>
                              <w:rPr>
                                <w:rFonts w:ascii="Arial MT"/>
                                <w:color w:val="FFFFFF"/>
                                <w:spacing w:val="-10"/>
                                <w:w w:val="105"/>
                                <w:sz w:val="34"/>
                                <w:shd w:fill="00AAAA" w:color="auto" w:val="clear"/>
                              </w:rPr>
                              <w:t>4</w:t>
                            </w:r>
                            <w:r>
                              <w:rPr>
                                <w:rFonts w:ascii="Arial MT"/>
                                <w:color w:val="FFFFFF"/>
                                <w:spacing w:val="80"/>
                                <w:w w:val="105"/>
                                <w:sz w:val="34"/>
                                <w:shd w:fill="00AAAA" w:color="auto" w:val="clear"/>
                              </w:rPr>
                              <w:t> </w:t>
                            </w:r>
                          </w:p>
                        </w:txbxContent>
                      </wps:txbx>
                      <wps:bodyPr wrap="square" lIns="0" tIns="0" rIns="0" bIns="0" rtlCol="0">
                        <a:noAutofit/>
                      </wps:bodyPr>
                    </wps:wsp>
                  </a:graphicData>
                </a:graphic>
              </wp:anchor>
            </w:drawing>
          </mc:Choice>
          <mc:Fallback>
            <w:pict>
              <v:shape style="position:absolute;margin-left:45.265495pt;margin-top:7.948035pt;width:27.05pt;height:23.55pt;mso-position-horizontal-relative:page;mso-position-vertical-relative:paragraph;z-index:15740416" type="#_x0000_t202" id="docshape37" filled="false" stroked="false">
                <v:textbox inset="0,0,0,0">
                  <w:txbxContent>
                    <w:p>
                      <w:pPr>
                        <w:spacing w:before="50"/>
                        <w:ind w:left="0" w:right="0" w:firstLine="0"/>
                        <w:jc w:val="left"/>
                        <w:rPr>
                          <w:rFonts w:ascii="Arial MT"/>
                          <w:sz w:val="34"/>
                        </w:rPr>
                      </w:pPr>
                      <w:r>
                        <w:rPr>
                          <w:color w:val="FFFFFF"/>
                          <w:spacing w:val="43"/>
                          <w:w w:val="150"/>
                          <w:sz w:val="34"/>
                          <w:shd w:fill="00AAAA" w:color="auto" w:val="clear"/>
                        </w:rPr>
                        <w:t> </w:t>
                      </w:r>
                      <w:r>
                        <w:rPr>
                          <w:rFonts w:ascii="Arial MT"/>
                          <w:color w:val="FFFFFF"/>
                          <w:spacing w:val="-10"/>
                          <w:w w:val="105"/>
                          <w:sz w:val="34"/>
                          <w:shd w:fill="00AAAA" w:color="auto" w:val="clear"/>
                        </w:rPr>
                        <w:t>4</w:t>
                      </w:r>
                      <w:r>
                        <w:rPr>
                          <w:rFonts w:ascii="Arial MT"/>
                          <w:color w:val="FFFFFF"/>
                          <w:spacing w:val="80"/>
                          <w:w w:val="105"/>
                          <w:sz w:val="34"/>
                          <w:shd w:fill="00AAAA" w:color="auto" w:val="clear"/>
                        </w:rPr>
                        <w:t> </w:t>
                      </w:r>
                    </w:p>
                  </w:txbxContent>
                </v:textbox>
                <w10:wrap type="none"/>
              </v:shape>
            </w:pict>
          </mc:Fallback>
        </mc:AlternateContent>
      </w:r>
      <w:r>
        <w:rPr>
          <w:rFonts w:ascii="Arial MT"/>
          <w:color w:val="00AAAA"/>
          <w:w w:val="110"/>
          <w:sz w:val="37"/>
        </w:rPr>
        <w:t>Submitted</w:t>
      </w:r>
      <w:r>
        <w:rPr>
          <w:rFonts w:ascii="Arial MT"/>
          <w:color w:val="00AAAA"/>
          <w:spacing w:val="-24"/>
          <w:w w:val="110"/>
          <w:sz w:val="37"/>
        </w:rPr>
        <w:t> </w:t>
      </w:r>
      <w:r>
        <w:rPr>
          <w:rFonts w:ascii="Arial MT"/>
          <w:color w:val="00AAAA"/>
          <w:w w:val="110"/>
          <w:sz w:val="37"/>
        </w:rPr>
        <w:t>to</w:t>
      </w:r>
      <w:r>
        <w:rPr>
          <w:rFonts w:ascii="Arial MT"/>
          <w:color w:val="00AAAA"/>
          <w:spacing w:val="-19"/>
          <w:w w:val="110"/>
          <w:sz w:val="37"/>
        </w:rPr>
        <w:t> </w:t>
      </w:r>
      <w:r>
        <w:rPr>
          <w:rFonts w:ascii="Arial MT"/>
          <w:color w:val="00AAAA"/>
          <w:spacing w:val="-2"/>
          <w:w w:val="110"/>
          <w:sz w:val="37"/>
        </w:rPr>
        <w:t>unsaac</w:t>
      </w:r>
    </w:p>
    <w:p>
      <w:pPr>
        <w:spacing w:before="30"/>
        <w:ind w:left="956" w:right="0" w:firstLine="0"/>
        <w:jc w:val="left"/>
        <w:rPr>
          <w:rFonts w:ascii="Arial MT"/>
          <w:sz w:val="22"/>
        </w:rPr>
      </w:pPr>
      <w:r>
        <w:rPr>
          <w:rFonts w:ascii="Arial MT"/>
          <w:color w:val="777777"/>
          <w:sz w:val="22"/>
        </w:rPr>
        <w:t>Trabajo</w:t>
      </w:r>
      <w:r>
        <w:rPr>
          <w:rFonts w:ascii="Arial MT"/>
          <w:color w:val="777777"/>
          <w:spacing w:val="12"/>
          <w:sz w:val="22"/>
        </w:rPr>
        <w:t> </w:t>
      </w:r>
      <w:r>
        <w:rPr>
          <w:rFonts w:ascii="Arial MT"/>
          <w:color w:val="777777"/>
          <w:sz w:val="22"/>
        </w:rPr>
        <w:t>del</w:t>
      </w:r>
      <w:r>
        <w:rPr>
          <w:rFonts w:ascii="Arial MT"/>
          <w:color w:val="777777"/>
          <w:spacing w:val="15"/>
          <w:sz w:val="22"/>
        </w:rPr>
        <w:t> </w:t>
      </w:r>
      <w:r>
        <w:rPr>
          <w:rFonts w:ascii="Arial MT"/>
          <w:color w:val="777777"/>
          <w:spacing w:val="-2"/>
          <w:sz w:val="22"/>
        </w:rPr>
        <w:t>estudiante</w:t>
      </w:r>
    </w:p>
    <w:p>
      <w:pPr>
        <w:pStyle w:val="BodyText"/>
        <w:rPr>
          <w:rFonts w:ascii="Arial MT"/>
          <w:sz w:val="22"/>
        </w:rPr>
      </w:pPr>
    </w:p>
    <w:p>
      <w:pPr>
        <w:pStyle w:val="BodyText"/>
        <w:spacing w:before="1"/>
        <w:rPr>
          <w:rFonts w:ascii="Arial MT"/>
          <w:sz w:val="22"/>
        </w:rPr>
      </w:pPr>
    </w:p>
    <w:p>
      <w:pPr>
        <w:spacing w:before="0"/>
        <w:ind w:left="956" w:right="0" w:firstLine="0"/>
        <w:jc w:val="left"/>
        <w:rPr>
          <w:rFonts w:ascii="Arial MT"/>
          <w:sz w:val="37"/>
        </w:rPr>
      </w:pPr>
      <w:r>
        <w:rPr>
          <w:rFonts w:ascii="Arial MT"/>
          <w:sz w:val="37"/>
        </w:rPr>
        <mc:AlternateContent>
          <mc:Choice Requires="wps">
            <w:drawing>
              <wp:anchor distT="0" distB="0" distL="0" distR="0" allowOverlap="1" layoutInCell="1" locked="0" behindDoc="0" simplePos="0" relativeHeight="15740928">
                <wp:simplePos x="0" y="0"/>
                <wp:positionH relativeFrom="page">
                  <wp:posOffset>574871</wp:posOffset>
                </wp:positionH>
                <wp:positionV relativeFrom="paragraph">
                  <wp:posOffset>100744</wp:posOffset>
                </wp:positionV>
                <wp:extent cx="343535" cy="299085"/>
                <wp:effectExtent l="0" t="0" r="0" b="0"/>
                <wp:wrapNone/>
                <wp:docPr id="42" name="Textbox 42"/>
                <wp:cNvGraphicFramePr>
                  <a:graphicFrameLocks/>
                </wp:cNvGraphicFramePr>
                <a:graphic>
                  <a:graphicData uri="http://schemas.microsoft.com/office/word/2010/wordprocessingShape">
                    <wps:wsp>
                      <wps:cNvPr id="42" name="Textbox 42"/>
                      <wps:cNvSpPr txBox="1"/>
                      <wps:spPr>
                        <a:xfrm>
                          <a:off x="0" y="0"/>
                          <a:ext cx="343535" cy="299085"/>
                        </a:xfrm>
                        <a:prstGeom prst="rect">
                          <a:avLst/>
                        </a:prstGeom>
                      </wps:spPr>
                      <wps:txbx>
                        <w:txbxContent>
                          <w:p>
                            <w:pPr>
                              <w:spacing w:before="50"/>
                              <w:ind w:left="0" w:right="0" w:firstLine="0"/>
                              <w:jc w:val="left"/>
                              <w:rPr>
                                <w:rFonts w:ascii="Arial MT"/>
                                <w:sz w:val="34"/>
                              </w:rPr>
                            </w:pPr>
                            <w:r>
                              <w:rPr>
                                <w:color w:val="FFFFFF"/>
                                <w:spacing w:val="43"/>
                                <w:w w:val="150"/>
                                <w:sz w:val="34"/>
                                <w:shd w:fill="00AA00" w:color="auto" w:val="clear"/>
                              </w:rPr>
                              <w:t> </w:t>
                            </w:r>
                            <w:r>
                              <w:rPr>
                                <w:rFonts w:ascii="Arial MT"/>
                                <w:color w:val="FFFFFF"/>
                                <w:spacing w:val="-10"/>
                                <w:w w:val="105"/>
                                <w:sz w:val="34"/>
                                <w:shd w:fill="00AA00" w:color="auto" w:val="clear"/>
                              </w:rPr>
                              <w:t>5</w:t>
                            </w:r>
                            <w:r>
                              <w:rPr>
                                <w:rFonts w:ascii="Arial MT"/>
                                <w:color w:val="FFFFFF"/>
                                <w:spacing w:val="80"/>
                                <w:w w:val="105"/>
                                <w:sz w:val="34"/>
                                <w:shd w:fill="00AA00" w:color="auto" w:val="clear"/>
                              </w:rPr>
                              <w:t> </w:t>
                            </w:r>
                          </w:p>
                        </w:txbxContent>
                      </wps:txbx>
                      <wps:bodyPr wrap="square" lIns="0" tIns="0" rIns="0" bIns="0" rtlCol="0">
                        <a:noAutofit/>
                      </wps:bodyPr>
                    </wps:wsp>
                  </a:graphicData>
                </a:graphic>
              </wp:anchor>
            </w:drawing>
          </mc:Choice>
          <mc:Fallback>
            <w:pict>
              <v:shape style="position:absolute;margin-left:45.265495pt;margin-top:7.932642pt;width:27.05pt;height:23.55pt;mso-position-horizontal-relative:page;mso-position-vertical-relative:paragraph;z-index:15740928" type="#_x0000_t202" id="docshape38" filled="false" stroked="false">
                <v:textbox inset="0,0,0,0">
                  <w:txbxContent>
                    <w:p>
                      <w:pPr>
                        <w:spacing w:before="50"/>
                        <w:ind w:left="0" w:right="0" w:firstLine="0"/>
                        <w:jc w:val="left"/>
                        <w:rPr>
                          <w:rFonts w:ascii="Arial MT"/>
                          <w:sz w:val="34"/>
                        </w:rPr>
                      </w:pPr>
                      <w:r>
                        <w:rPr>
                          <w:color w:val="FFFFFF"/>
                          <w:spacing w:val="43"/>
                          <w:w w:val="150"/>
                          <w:sz w:val="34"/>
                          <w:shd w:fill="00AA00" w:color="auto" w:val="clear"/>
                        </w:rPr>
                        <w:t> </w:t>
                      </w:r>
                      <w:r>
                        <w:rPr>
                          <w:rFonts w:ascii="Arial MT"/>
                          <w:color w:val="FFFFFF"/>
                          <w:spacing w:val="-10"/>
                          <w:w w:val="105"/>
                          <w:sz w:val="34"/>
                          <w:shd w:fill="00AA00" w:color="auto" w:val="clear"/>
                        </w:rPr>
                        <w:t>5</w:t>
                      </w:r>
                      <w:r>
                        <w:rPr>
                          <w:rFonts w:ascii="Arial MT"/>
                          <w:color w:val="FFFFFF"/>
                          <w:spacing w:val="80"/>
                          <w:w w:val="105"/>
                          <w:sz w:val="34"/>
                          <w:shd w:fill="00AA00" w:color="auto" w:val="clear"/>
                        </w:rPr>
                        <w:t> </w:t>
                      </w:r>
                    </w:p>
                  </w:txbxContent>
                </v:textbox>
                <w10:wrap type="none"/>
              </v:shape>
            </w:pict>
          </mc:Fallback>
        </mc:AlternateContent>
      </w:r>
      <w:hyperlink r:id="rId13">
        <w:r>
          <w:rPr>
            <w:rFonts w:ascii="Arial MT"/>
            <w:color w:val="00AA00"/>
            <w:spacing w:val="-2"/>
            <w:w w:val="110"/>
            <w:sz w:val="37"/>
          </w:rPr>
          <w:t>www.coursehero.com</w:t>
        </w:r>
      </w:hyperlink>
    </w:p>
    <w:p>
      <w:pPr>
        <w:spacing w:before="31"/>
        <w:ind w:left="956" w:right="0" w:firstLine="0"/>
        <w:jc w:val="left"/>
        <w:rPr>
          <w:rFonts w:ascii="Arial MT"/>
          <w:sz w:val="22"/>
        </w:rPr>
      </w:pPr>
      <w:r>
        <w:rPr>
          <w:rFonts w:ascii="Arial MT"/>
          <w:color w:val="777777"/>
          <w:sz w:val="22"/>
        </w:rPr>
        <w:t>Fuente</w:t>
      </w:r>
      <w:r>
        <w:rPr>
          <w:rFonts w:ascii="Arial MT"/>
          <w:color w:val="777777"/>
          <w:spacing w:val="9"/>
          <w:sz w:val="22"/>
        </w:rPr>
        <w:t> </w:t>
      </w:r>
      <w:r>
        <w:rPr>
          <w:rFonts w:ascii="Arial MT"/>
          <w:color w:val="777777"/>
          <w:sz w:val="22"/>
        </w:rPr>
        <w:t>de</w:t>
      </w:r>
      <w:r>
        <w:rPr>
          <w:rFonts w:ascii="Arial MT"/>
          <w:color w:val="777777"/>
          <w:spacing w:val="10"/>
          <w:sz w:val="22"/>
        </w:rPr>
        <w:t> </w:t>
      </w:r>
      <w:r>
        <w:rPr>
          <w:rFonts w:ascii="Arial MT"/>
          <w:color w:val="777777"/>
          <w:spacing w:val="-2"/>
          <w:sz w:val="22"/>
        </w:rPr>
        <w:t>Internet</w:t>
      </w:r>
    </w:p>
    <w:p>
      <w:pPr>
        <w:pStyle w:val="BodyText"/>
        <w:rPr>
          <w:rFonts w:ascii="Arial MT"/>
          <w:sz w:val="22"/>
        </w:rPr>
      </w:pPr>
    </w:p>
    <w:p>
      <w:pPr>
        <w:pStyle w:val="BodyText"/>
        <w:spacing w:before="1"/>
        <w:rPr>
          <w:rFonts w:ascii="Arial MT"/>
          <w:sz w:val="22"/>
        </w:rPr>
      </w:pPr>
    </w:p>
    <w:p>
      <w:pPr>
        <w:spacing w:before="0"/>
        <w:ind w:left="956" w:right="0" w:firstLine="0"/>
        <w:jc w:val="left"/>
        <w:rPr>
          <w:rFonts w:ascii="Arial MT"/>
          <w:sz w:val="37"/>
        </w:rPr>
      </w:pPr>
      <w:r>
        <w:rPr>
          <w:rFonts w:ascii="Arial MT"/>
          <w:sz w:val="37"/>
        </w:rPr>
        <mc:AlternateContent>
          <mc:Choice Requires="wps">
            <w:drawing>
              <wp:anchor distT="0" distB="0" distL="0" distR="0" allowOverlap="1" layoutInCell="1" locked="0" behindDoc="0" simplePos="0" relativeHeight="15741440">
                <wp:simplePos x="0" y="0"/>
                <wp:positionH relativeFrom="page">
                  <wp:posOffset>574871</wp:posOffset>
                </wp:positionH>
                <wp:positionV relativeFrom="paragraph">
                  <wp:posOffset>100549</wp:posOffset>
                </wp:positionV>
                <wp:extent cx="343535" cy="299085"/>
                <wp:effectExtent l="0" t="0" r="0" b="0"/>
                <wp:wrapNone/>
                <wp:docPr id="43" name="Textbox 43"/>
                <wp:cNvGraphicFramePr>
                  <a:graphicFrameLocks/>
                </wp:cNvGraphicFramePr>
                <a:graphic>
                  <a:graphicData uri="http://schemas.microsoft.com/office/word/2010/wordprocessingShape">
                    <wps:wsp>
                      <wps:cNvPr id="43" name="Textbox 43"/>
                      <wps:cNvSpPr txBox="1"/>
                      <wps:spPr>
                        <a:xfrm>
                          <a:off x="0" y="0"/>
                          <a:ext cx="343535" cy="299085"/>
                        </a:xfrm>
                        <a:prstGeom prst="rect">
                          <a:avLst/>
                        </a:prstGeom>
                      </wps:spPr>
                      <wps:txbx>
                        <w:txbxContent>
                          <w:p>
                            <w:pPr>
                              <w:spacing w:before="50"/>
                              <w:ind w:left="0" w:right="0" w:firstLine="0"/>
                              <w:jc w:val="left"/>
                              <w:rPr>
                                <w:rFonts w:ascii="Arial MT"/>
                                <w:sz w:val="34"/>
                              </w:rPr>
                            </w:pPr>
                            <w:r>
                              <w:rPr>
                                <w:color w:val="FFFFFF"/>
                                <w:spacing w:val="43"/>
                                <w:w w:val="150"/>
                                <w:sz w:val="34"/>
                                <w:shd w:fill="AB6F00" w:color="auto" w:val="clear"/>
                              </w:rPr>
                              <w:t> </w:t>
                            </w:r>
                            <w:r>
                              <w:rPr>
                                <w:rFonts w:ascii="Arial MT"/>
                                <w:color w:val="FFFFFF"/>
                                <w:spacing w:val="-10"/>
                                <w:w w:val="105"/>
                                <w:sz w:val="34"/>
                                <w:shd w:fill="AB6F00" w:color="auto" w:val="clear"/>
                              </w:rPr>
                              <w:t>6</w:t>
                            </w:r>
                            <w:r>
                              <w:rPr>
                                <w:rFonts w:ascii="Arial MT"/>
                                <w:color w:val="FFFFFF"/>
                                <w:spacing w:val="80"/>
                                <w:w w:val="105"/>
                                <w:sz w:val="34"/>
                                <w:shd w:fill="AB6F00" w:color="auto" w:val="clear"/>
                              </w:rPr>
                              <w:t> </w:t>
                            </w:r>
                          </w:p>
                        </w:txbxContent>
                      </wps:txbx>
                      <wps:bodyPr wrap="square" lIns="0" tIns="0" rIns="0" bIns="0" rtlCol="0">
                        <a:noAutofit/>
                      </wps:bodyPr>
                    </wps:wsp>
                  </a:graphicData>
                </a:graphic>
              </wp:anchor>
            </w:drawing>
          </mc:Choice>
          <mc:Fallback>
            <w:pict>
              <v:shape style="position:absolute;margin-left:45.265495pt;margin-top:7.917248pt;width:27.05pt;height:23.55pt;mso-position-horizontal-relative:page;mso-position-vertical-relative:paragraph;z-index:15741440" type="#_x0000_t202" id="docshape39" filled="false" stroked="false">
                <v:textbox inset="0,0,0,0">
                  <w:txbxContent>
                    <w:p>
                      <w:pPr>
                        <w:spacing w:before="50"/>
                        <w:ind w:left="0" w:right="0" w:firstLine="0"/>
                        <w:jc w:val="left"/>
                        <w:rPr>
                          <w:rFonts w:ascii="Arial MT"/>
                          <w:sz w:val="34"/>
                        </w:rPr>
                      </w:pPr>
                      <w:r>
                        <w:rPr>
                          <w:color w:val="FFFFFF"/>
                          <w:spacing w:val="43"/>
                          <w:w w:val="150"/>
                          <w:sz w:val="34"/>
                          <w:shd w:fill="AB6F00" w:color="auto" w:val="clear"/>
                        </w:rPr>
                        <w:t> </w:t>
                      </w:r>
                      <w:r>
                        <w:rPr>
                          <w:rFonts w:ascii="Arial MT"/>
                          <w:color w:val="FFFFFF"/>
                          <w:spacing w:val="-10"/>
                          <w:w w:val="105"/>
                          <w:sz w:val="34"/>
                          <w:shd w:fill="AB6F00" w:color="auto" w:val="clear"/>
                        </w:rPr>
                        <w:t>6</w:t>
                      </w:r>
                      <w:r>
                        <w:rPr>
                          <w:rFonts w:ascii="Arial MT"/>
                          <w:color w:val="FFFFFF"/>
                          <w:spacing w:val="80"/>
                          <w:w w:val="105"/>
                          <w:sz w:val="34"/>
                          <w:shd w:fill="AB6F00" w:color="auto" w:val="clear"/>
                        </w:rPr>
                        <w:t> </w:t>
                      </w:r>
                    </w:p>
                  </w:txbxContent>
                </v:textbox>
                <w10:wrap type="none"/>
              </v:shape>
            </w:pict>
          </mc:Fallback>
        </mc:AlternateContent>
      </w:r>
      <w:r>
        <w:rPr>
          <w:rFonts w:ascii="Arial MT"/>
          <w:color w:val="AB6F00"/>
          <w:spacing w:val="-2"/>
          <w:w w:val="105"/>
          <w:sz w:val="37"/>
        </w:rPr>
        <w:t>issuu.com</w:t>
      </w:r>
    </w:p>
    <w:p>
      <w:pPr>
        <w:spacing w:before="30"/>
        <w:ind w:left="956" w:right="0" w:firstLine="0"/>
        <w:jc w:val="left"/>
        <w:rPr>
          <w:rFonts w:ascii="Arial MT"/>
          <w:sz w:val="22"/>
        </w:rPr>
      </w:pPr>
      <w:r>
        <w:rPr>
          <w:rFonts w:ascii="Arial MT"/>
          <w:color w:val="777777"/>
          <w:sz w:val="22"/>
        </w:rPr>
        <w:t>Fuente</w:t>
      </w:r>
      <w:r>
        <w:rPr>
          <w:rFonts w:ascii="Arial MT"/>
          <w:color w:val="777777"/>
          <w:spacing w:val="9"/>
          <w:sz w:val="22"/>
        </w:rPr>
        <w:t> </w:t>
      </w:r>
      <w:r>
        <w:rPr>
          <w:rFonts w:ascii="Arial MT"/>
          <w:color w:val="777777"/>
          <w:sz w:val="22"/>
        </w:rPr>
        <w:t>de</w:t>
      </w:r>
      <w:r>
        <w:rPr>
          <w:rFonts w:ascii="Arial MT"/>
          <w:color w:val="777777"/>
          <w:spacing w:val="10"/>
          <w:sz w:val="22"/>
        </w:rPr>
        <w:t> </w:t>
      </w:r>
      <w:r>
        <w:rPr>
          <w:rFonts w:ascii="Arial MT"/>
          <w:color w:val="777777"/>
          <w:spacing w:val="-2"/>
          <w:sz w:val="22"/>
        </w:rPr>
        <w:t>Internet</w:t>
      </w:r>
    </w:p>
    <w:p>
      <w:pPr>
        <w:pStyle w:val="BodyText"/>
        <w:rPr>
          <w:rFonts w:ascii="Arial MT"/>
          <w:sz w:val="22"/>
        </w:rPr>
      </w:pPr>
    </w:p>
    <w:p>
      <w:pPr>
        <w:pStyle w:val="BodyText"/>
        <w:spacing w:before="1"/>
        <w:rPr>
          <w:rFonts w:ascii="Arial MT"/>
          <w:sz w:val="22"/>
        </w:rPr>
      </w:pPr>
    </w:p>
    <w:p>
      <w:pPr>
        <w:spacing w:before="1"/>
        <w:ind w:left="956" w:right="0" w:firstLine="0"/>
        <w:jc w:val="left"/>
        <w:rPr>
          <w:rFonts w:ascii="Arial MT"/>
          <w:sz w:val="37"/>
        </w:rPr>
      </w:pPr>
      <w:r>
        <w:rPr>
          <w:rFonts w:ascii="Arial MT"/>
          <w:sz w:val="37"/>
        </w:rPr>
        <mc:AlternateContent>
          <mc:Choice Requires="wps">
            <w:drawing>
              <wp:anchor distT="0" distB="0" distL="0" distR="0" allowOverlap="1" layoutInCell="1" locked="0" behindDoc="0" simplePos="0" relativeHeight="15741952">
                <wp:simplePos x="0" y="0"/>
                <wp:positionH relativeFrom="page">
                  <wp:posOffset>574871</wp:posOffset>
                </wp:positionH>
                <wp:positionV relativeFrom="paragraph">
                  <wp:posOffset>100988</wp:posOffset>
                </wp:positionV>
                <wp:extent cx="343535" cy="299085"/>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343535" cy="299085"/>
                        </a:xfrm>
                        <a:prstGeom prst="rect">
                          <a:avLst/>
                        </a:prstGeom>
                      </wps:spPr>
                      <wps:txbx>
                        <w:txbxContent>
                          <w:p>
                            <w:pPr>
                              <w:spacing w:before="50"/>
                              <w:ind w:left="0" w:right="0" w:firstLine="0"/>
                              <w:jc w:val="left"/>
                              <w:rPr>
                                <w:rFonts w:ascii="Arial MT"/>
                                <w:sz w:val="34"/>
                              </w:rPr>
                            </w:pPr>
                            <w:r>
                              <w:rPr>
                                <w:color w:val="FFFFFF"/>
                                <w:spacing w:val="43"/>
                                <w:w w:val="150"/>
                                <w:sz w:val="34"/>
                                <w:shd w:fill="792E05" w:color="auto" w:val="clear"/>
                              </w:rPr>
                              <w:t> </w:t>
                            </w:r>
                            <w:r>
                              <w:rPr>
                                <w:rFonts w:ascii="Arial MT"/>
                                <w:color w:val="FFFFFF"/>
                                <w:spacing w:val="-10"/>
                                <w:w w:val="105"/>
                                <w:sz w:val="34"/>
                                <w:shd w:fill="792E05" w:color="auto" w:val="clear"/>
                              </w:rPr>
                              <w:t>7</w:t>
                            </w:r>
                            <w:r>
                              <w:rPr>
                                <w:rFonts w:ascii="Arial MT"/>
                                <w:color w:val="FFFFFF"/>
                                <w:spacing w:val="80"/>
                                <w:w w:val="105"/>
                                <w:sz w:val="34"/>
                                <w:shd w:fill="792E05" w:color="auto" w:val="clear"/>
                              </w:rPr>
                              <w:t> </w:t>
                            </w:r>
                          </w:p>
                        </w:txbxContent>
                      </wps:txbx>
                      <wps:bodyPr wrap="square" lIns="0" tIns="0" rIns="0" bIns="0" rtlCol="0">
                        <a:noAutofit/>
                      </wps:bodyPr>
                    </wps:wsp>
                  </a:graphicData>
                </a:graphic>
              </wp:anchor>
            </w:drawing>
          </mc:Choice>
          <mc:Fallback>
            <w:pict>
              <v:shape style="position:absolute;margin-left:45.265495pt;margin-top:7.951855pt;width:27.05pt;height:23.55pt;mso-position-horizontal-relative:page;mso-position-vertical-relative:paragraph;z-index:15741952" type="#_x0000_t202" id="docshape40" filled="false" stroked="false">
                <v:textbox inset="0,0,0,0">
                  <w:txbxContent>
                    <w:p>
                      <w:pPr>
                        <w:spacing w:before="50"/>
                        <w:ind w:left="0" w:right="0" w:firstLine="0"/>
                        <w:jc w:val="left"/>
                        <w:rPr>
                          <w:rFonts w:ascii="Arial MT"/>
                          <w:sz w:val="34"/>
                        </w:rPr>
                      </w:pPr>
                      <w:r>
                        <w:rPr>
                          <w:color w:val="FFFFFF"/>
                          <w:spacing w:val="43"/>
                          <w:w w:val="150"/>
                          <w:sz w:val="34"/>
                          <w:shd w:fill="792E05" w:color="auto" w:val="clear"/>
                        </w:rPr>
                        <w:t> </w:t>
                      </w:r>
                      <w:r>
                        <w:rPr>
                          <w:rFonts w:ascii="Arial MT"/>
                          <w:color w:val="FFFFFF"/>
                          <w:spacing w:val="-10"/>
                          <w:w w:val="105"/>
                          <w:sz w:val="34"/>
                          <w:shd w:fill="792E05" w:color="auto" w:val="clear"/>
                        </w:rPr>
                        <w:t>7</w:t>
                      </w:r>
                      <w:r>
                        <w:rPr>
                          <w:rFonts w:ascii="Arial MT"/>
                          <w:color w:val="FFFFFF"/>
                          <w:spacing w:val="80"/>
                          <w:w w:val="105"/>
                          <w:sz w:val="34"/>
                          <w:shd w:fill="792E05" w:color="auto" w:val="clear"/>
                        </w:rPr>
                        <w:t> </w:t>
                      </w:r>
                    </w:p>
                  </w:txbxContent>
                </v:textbox>
                <w10:wrap type="none"/>
              </v:shape>
            </w:pict>
          </mc:Fallback>
        </mc:AlternateContent>
      </w:r>
      <w:r>
        <w:rPr>
          <w:rFonts w:ascii="Arial MT"/>
          <w:color w:val="792E05"/>
          <w:spacing w:val="-2"/>
          <w:w w:val="110"/>
          <w:sz w:val="37"/>
        </w:rPr>
        <w:t>repositorio.upsc.edu.pe</w:t>
      </w:r>
    </w:p>
    <w:p>
      <w:pPr>
        <w:spacing w:before="30"/>
        <w:ind w:left="956" w:right="0" w:firstLine="0"/>
        <w:jc w:val="left"/>
        <w:rPr>
          <w:rFonts w:ascii="Arial MT"/>
          <w:sz w:val="22"/>
        </w:rPr>
      </w:pPr>
      <w:r>
        <w:rPr>
          <w:rFonts w:ascii="Arial MT"/>
          <w:color w:val="777777"/>
          <w:sz w:val="22"/>
        </w:rPr>
        <w:t>Fuente</w:t>
      </w:r>
      <w:r>
        <w:rPr>
          <w:rFonts w:ascii="Arial MT"/>
          <w:color w:val="777777"/>
          <w:spacing w:val="9"/>
          <w:sz w:val="22"/>
        </w:rPr>
        <w:t> </w:t>
      </w:r>
      <w:r>
        <w:rPr>
          <w:rFonts w:ascii="Arial MT"/>
          <w:color w:val="777777"/>
          <w:sz w:val="22"/>
        </w:rPr>
        <w:t>de</w:t>
      </w:r>
      <w:r>
        <w:rPr>
          <w:rFonts w:ascii="Arial MT"/>
          <w:color w:val="777777"/>
          <w:spacing w:val="10"/>
          <w:sz w:val="22"/>
        </w:rPr>
        <w:t> </w:t>
      </w:r>
      <w:r>
        <w:rPr>
          <w:rFonts w:ascii="Arial MT"/>
          <w:color w:val="777777"/>
          <w:spacing w:val="-2"/>
          <w:sz w:val="22"/>
        </w:rPr>
        <w:t>Internet</w:t>
      </w:r>
    </w:p>
    <w:p>
      <w:pPr>
        <w:spacing w:before="279"/>
        <w:ind w:left="0" w:right="19" w:firstLine="0"/>
        <w:jc w:val="right"/>
        <w:rPr>
          <w:rFonts w:ascii="Arial MT"/>
          <w:sz w:val="36"/>
        </w:rPr>
      </w:pPr>
      <w:r>
        <w:rPr/>
        <w:br w:type="column"/>
      </w:r>
      <w:r>
        <w:rPr>
          <w:rFonts w:ascii="Arial MT"/>
          <w:color w:val="333333"/>
          <w:spacing w:val="-5"/>
          <w:sz w:val="75"/>
        </w:rPr>
        <w:t>16</w:t>
      </w:r>
      <w:r>
        <w:rPr>
          <w:rFonts w:ascii="Arial MT"/>
          <w:color w:val="333333"/>
          <w:spacing w:val="-5"/>
          <w:sz w:val="36"/>
        </w:rPr>
        <w:t>%</w:t>
      </w:r>
    </w:p>
    <w:p>
      <w:pPr>
        <w:spacing w:before="759"/>
        <w:ind w:left="0" w:right="19" w:firstLine="0"/>
        <w:jc w:val="right"/>
        <w:rPr>
          <w:rFonts w:ascii="Arial MT"/>
          <w:sz w:val="36"/>
        </w:rPr>
      </w:pPr>
      <w:r>
        <w:rPr>
          <w:rFonts w:ascii="Arial MT"/>
          <w:sz w:val="36"/>
        </w:rPr>
        <mc:AlternateContent>
          <mc:Choice Requires="wps">
            <w:drawing>
              <wp:anchor distT="0" distB="0" distL="0" distR="0" allowOverlap="1" layoutInCell="1" locked="0" behindDoc="0" simplePos="0" relativeHeight="15734784">
                <wp:simplePos x="0" y="0"/>
                <wp:positionH relativeFrom="page">
                  <wp:posOffset>431868</wp:posOffset>
                </wp:positionH>
                <wp:positionV relativeFrom="paragraph">
                  <wp:posOffset>366681</wp:posOffset>
                </wp:positionV>
                <wp:extent cx="6788150" cy="10160"/>
                <wp:effectExtent l="0" t="0" r="0" b="0"/>
                <wp:wrapNone/>
                <wp:docPr id="45" name="Graphic 45"/>
                <wp:cNvGraphicFramePr>
                  <a:graphicFrameLocks/>
                </wp:cNvGraphicFramePr>
                <a:graphic>
                  <a:graphicData uri="http://schemas.microsoft.com/office/word/2010/wordprocessingShape">
                    <wps:wsp>
                      <wps:cNvPr id="45" name="Graphic 45"/>
                      <wps:cNvSpPr/>
                      <wps:spPr>
                        <a:xfrm>
                          <a:off x="0" y="0"/>
                          <a:ext cx="6788150" cy="10160"/>
                        </a:xfrm>
                        <a:custGeom>
                          <a:avLst/>
                          <a:gdLst/>
                          <a:ahLst/>
                          <a:cxnLst/>
                          <a:rect l="l" t="t" r="r" b="b"/>
                          <a:pathLst>
                            <a:path w="6788150" h="10160">
                              <a:moveTo>
                                <a:pt x="6787892" y="9533"/>
                              </a:moveTo>
                              <a:lnTo>
                                <a:pt x="0" y="9533"/>
                              </a:lnTo>
                              <a:lnTo>
                                <a:pt x="0" y="0"/>
                              </a:lnTo>
                              <a:lnTo>
                                <a:pt x="6787892" y="0"/>
                              </a:lnTo>
                              <a:lnTo>
                                <a:pt x="6787892" y="9533"/>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rect style="position:absolute;margin-left:34.00539pt;margin-top:28.872522pt;width:534.479725pt;height:.750674pt;mso-position-horizontal-relative:page;mso-position-vertical-relative:paragraph;z-index:15734784" id="docshape41" filled="true" fillcolor="#999999" stroked="false">
                <v:fill type="solid"/>
                <w10:wrap type="none"/>
              </v:rect>
            </w:pict>
          </mc:Fallback>
        </mc:AlternateContent>
      </w:r>
      <w:r>
        <w:rPr>
          <w:rFonts w:ascii="Arial MT"/>
          <w:sz w:val="36"/>
        </w:rPr>
        <mc:AlternateContent>
          <mc:Choice Requires="wps">
            <w:drawing>
              <wp:anchor distT="0" distB="0" distL="0" distR="0" allowOverlap="1" layoutInCell="1" locked="0" behindDoc="0" simplePos="0" relativeHeight="15735296">
                <wp:simplePos x="0" y="0"/>
                <wp:positionH relativeFrom="page">
                  <wp:posOffset>431868</wp:posOffset>
                </wp:positionH>
                <wp:positionV relativeFrom="paragraph">
                  <wp:posOffset>1138899</wp:posOffset>
                </wp:positionV>
                <wp:extent cx="6788150" cy="10160"/>
                <wp:effectExtent l="0" t="0" r="0" b="0"/>
                <wp:wrapNone/>
                <wp:docPr id="46" name="Graphic 46"/>
                <wp:cNvGraphicFramePr>
                  <a:graphicFrameLocks/>
                </wp:cNvGraphicFramePr>
                <a:graphic>
                  <a:graphicData uri="http://schemas.microsoft.com/office/word/2010/wordprocessingShape">
                    <wps:wsp>
                      <wps:cNvPr id="46" name="Graphic 46"/>
                      <wps:cNvSpPr/>
                      <wps:spPr>
                        <a:xfrm>
                          <a:off x="0" y="0"/>
                          <a:ext cx="6788150" cy="10160"/>
                        </a:xfrm>
                        <a:custGeom>
                          <a:avLst/>
                          <a:gdLst/>
                          <a:ahLst/>
                          <a:cxnLst/>
                          <a:rect l="l" t="t" r="r" b="b"/>
                          <a:pathLst>
                            <a:path w="6788150" h="10160">
                              <a:moveTo>
                                <a:pt x="6787892" y="9533"/>
                              </a:moveTo>
                              <a:lnTo>
                                <a:pt x="0" y="9533"/>
                              </a:lnTo>
                              <a:lnTo>
                                <a:pt x="0" y="0"/>
                              </a:lnTo>
                              <a:lnTo>
                                <a:pt x="6787892" y="0"/>
                              </a:lnTo>
                              <a:lnTo>
                                <a:pt x="6787892" y="9533"/>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rect style="position:absolute;margin-left:34.00539pt;margin-top:89.677094pt;width:534.479725pt;height:.750674pt;mso-position-horizontal-relative:page;mso-position-vertical-relative:paragraph;z-index:15735296" id="docshape42" filled="true" fillcolor="#999999" stroked="false">
                <v:fill type="solid"/>
                <w10:wrap type="none"/>
              </v:rect>
            </w:pict>
          </mc:Fallback>
        </mc:AlternateContent>
      </w:r>
      <w:r>
        <w:rPr>
          <w:rFonts w:ascii="Arial MT"/>
          <w:color w:val="333333"/>
          <w:spacing w:val="-5"/>
          <w:sz w:val="75"/>
        </w:rPr>
        <w:t>2</w:t>
      </w:r>
      <w:r>
        <w:rPr>
          <w:rFonts w:ascii="Arial MT"/>
          <w:color w:val="333333"/>
          <w:spacing w:val="-5"/>
          <w:sz w:val="36"/>
        </w:rPr>
        <w:t>%</w:t>
      </w:r>
    </w:p>
    <w:p>
      <w:pPr>
        <w:spacing w:before="354"/>
        <w:ind w:left="0" w:right="19" w:firstLine="0"/>
        <w:jc w:val="right"/>
        <w:rPr>
          <w:rFonts w:ascii="Arial MT"/>
          <w:sz w:val="36"/>
        </w:rPr>
      </w:pPr>
      <w:r>
        <w:rPr>
          <w:rFonts w:ascii="Arial MT"/>
          <w:sz w:val="36"/>
        </w:rPr>
        <mc:AlternateContent>
          <mc:Choice Requires="wps">
            <w:drawing>
              <wp:anchor distT="0" distB="0" distL="0" distR="0" allowOverlap="1" layoutInCell="1" locked="0" behindDoc="0" simplePos="0" relativeHeight="15735808">
                <wp:simplePos x="0" y="0"/>
                <wp:positionH relativeFrom="page">
                  <wp:posOffset>431868</wp:posOffset>
                </wp:positionH>
                <wp:positionV relativeFrom="paragraph">
                  <wp:posOffset>881511</wp:posOffset>
                </wp:positionV>
                <wp:extent cx="6788150" cy="10160"/>
                <wp:effectExtent l="0" t="0" r="0" b="0"/>
                <wp:wrapNone/>
                <wp:docPr id="47" name="Graphic 47"/>
                <wp:cNvGraphicFramePr>
                  <a:graphicFrameLocks/>
                </wp:cNvGraphicFramePr>
                <a:graphic>
                  <a:graphicData uri="http://schemas.microsoft.com/office/word/2010/wordprocessingShape">
                    <wps:wsp>
                      <wps:cNvPr id="47" name="Graphic 47"/>
                      <wps:cNvSpPr/>
                      <wps:spPr>
                        <a:xfrm>
                          <a:off x="0" y="0"/>
                          <a:ext cx="6788150" cy="10160"/>
                        </a:xfrm>
                        <a:custGeom>
                          <a:avLst/>
                          <a:gdLst/>
                          <a:ahLst/>
                          <a:cxnLst/>
                          <a:rect l="l" t="t" r="r" b="b"/>
                          <a:pathLst>
                            <a:path w="6788150" h="10160">
                              <a:moveTo>
                                <a:pt x="6787892" y="9533"/>
                              </a:moveTo>
                              <a:lnTo>
                                <a:pt x="0" y="9533"/>
                              </a:lnTo>
                              <a:lnTo>
                                <a:pt x="0" y="0"/>
                              </a:lnTo>
                              <a:lnTo>
                                <a:pt x="6787892" y="0"/>
                              </a:lnTo>
                              <a:lnTo>
                                <a:pt x="6787892" y="9533"/>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rect style="position:absolute;margin-left:34.00539pt;margin-top:69.410332pt;width:534.479725pt;height:.750674pt;mso-position-horizontal-relative:page;mso-position-vertical-relative:paragraph;z-index:15735808" id="docshape43" filled="true" fillcolor="#999999" stroked="false">
                <v:fill type="solid"/>
                <w10:wrap type="none"/>
              </v:rect>
            </w:pict>
          </mc:Fallback>
        </mc:AlternateContent>
      </w:r>
      <w:r>
        <w:rPr>
          <w:rFonts w:ascii="Arial MT"/>
          <w:color w:val="333333"/>
          <w:spacing w:val="-5"/>
          <w:sz w:val="75"/>
        </w:rPr>
        <w:t>1</w:t>
      </w:r>
      <w:r>
        <w:rPr>
          <w:rFonts w:ascii="Arial MT"/>
          <w:color w:val="333333"/>
          <w:spacing w:val="-5"/>
          <w:sz w:val="36"/>
        </w:rPr>
        <w:t>%</w:t>
      </w:r>
    </w:p>
    <w:p>
      <w:pPr>
        <w:spacing w:before="354"/>
        <w:ind w:left="0" w:right="19" w:firstLine="0"/>
        <w:jc w:val="right"/>
        <w:rPr>
          <w:rFonts w:ascii="Arial MT"/>
          <w:sz w:val="36"/>
        </w:rPr>
      </w:pPr>
      <w:r>
        <w:rPr>
          <w:rFonts w:ascii="Arial MT"/>
          <w:sz w:val="36"/>
        </w:rPr>
        <mc:AlternateContent>
          <mc:Choice Requires="wps">
            <w:drawing>
              <wp:anchor distT="0" distB="0" distL="0" distR="0" allowOverlap="1" layoutInCell="1" locked="0" behindDoc="0" simplePos="0" relativeHeight="15736320">
                <wp:simplePos x="0" y="0"/>
                <wp:positionH relativeFrom="page">
                  <wp:posOffset>431868</wp:posOffset>
                </wp:positionH>
                <wp:positionV relativeFrom="paragraph">
                  <wp:posOffset>881298</wp:posOffset>
                </wp:positionV>
                <wp:extent cx="6788150" cy="10160"/>
                <wp:effectExtent l="0" t="0" r="0" b="0"/>
                <wp:wrapNone/>
                <wp:docPr id="48" name="Graphic 48"/>
                <wp:cNvGraphicFramePr>
                  <a:graphicFrameLocks/>
                </wp:cNvGraphicFramePr>
                <a:graphic>
                  <a:graphicData uri="http://schemas.microsoft.com/office/word/2010/wordprocessingShape">
                    <wps:wsp>
                      <wps:cNvPr id="48" name="Graphic 48"/>
                      <wps:cNvSpPr/>
                      <wps:spPr>
                        <a:xfrm>
                          <a:off x="0" y="0"/>
                          <a:ext cx="6788150" cy="10160"/>
                        </a:xfrm>
                        <a:custGeom>
                          <a:avLst/>
                          <a:gdLst/>
                          <a:ahLst/>
                          <a:cxnLst/>
                          <a:rect l="l" t="t" r="r" b="b"/>
                          <a:pathLst>
                            <a:path w="6788150" h="10160">
                              <a:moveTo>
                                <a:pt x="6787892" y="9533"/>
                              </a:moveTo>
                              <a:lnTo>
                                <a:pt x="0" y="9533"/>
                              </a:lnTo>
                              <a:lnTo>
                                <a:pt x="0" y="0"/>
                              </a:lnTo>
                              <a:lnTo>
                                <a:pt x="6787892" y="0"/>
                              </a:lnTo>
                              <a:lnTo>
                                <a:pt x="6787892" y="9533"/>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rect style="position:absolute;margin-left:34.00539pt;margin-top:69.39357pt;width:534.479725pt;height:.750674pt;mso-position-horizontal-relative:page;mso-position-vertical-relative:paragraph;z-index:15736320" id="docshape44" filled="true" fillcolor="#999999" stroked="false">
                <v:fill type="solid"/>
                <w10:wrap type="none"/>
              </v:rect>
            </w:pict>
          </mc:Fallback>
        </mc:AlternateContent>
      </w:r>
      <w:r>
        <w:rPr>
          <w:rFonts w:ascii="Arial MT"/>
          <w:color w:val="333333"/>
          <w:spacing w:val="-5"/>
          <w:sz w:val="60"/>
        </w:rPr>
        <w:t>&lt;</w:t>
      </w:r>
      <w:r>
        <w:rPr>
          <w:rFonts w:ascii="Arial MT"/>
          <w:color w:val="333333"/>
          <w:spacing w:val="-5"/>
          <w:sz w:val="75"/>
        </w:rPr>
        <w:t>1</w:t>
      </w:r>
      <w:r>
        <w:rPr>
          <w:rFonts w:ascii="Arial MT"/>
          <w:color w:val="333333"/>
          <w:spacing w:val="-5"/>
          <w:sz w:val="36"/>
        </w:rPr>
        <w:t>%</w:t>
      </w:r>
    </w:p>
    <w:p>
      <w:pPr>
        <w:spacing w:before="353"/>
        <w:ind w:left="0" w:right="19" w:firstLine="0"/>
        <w:jc w:val="right"/>
        <w:rPr>
          <w:rFonts w:ascii="Arial MT"/>
          <w:sz w:val="36"/>
        </w:rPr>
      </w:pPr>
      <w:r>
        <w:rPr>
          <w:rFonts w:ascii="Arial MT"/>
          <w:sz w:val="36"/>
        </w:rPr>
        <mc:AlternateContent>
          <mc:Choice Requires="wps">
            <w:drawing>
              <wp:anchor distT="0" distB="0" distL="0" distR="0" allowOverlap="1" layoutInCell="1" locked="0" behindDoc="0" simplePos="0" relativeHeight="15736832">
                <wp:simplePos x="0" y="0"/>
                <wp:positionH relativeFrom="page">
                  <wp:posOffset>431868</wp:posOffset>
                </wp:positionH>
                <wp:positionV relativeFrom="paragraph">
                  <wp:posOffset>881085</wp:posOffset>
                </wp:positionV>
                <wp:extent cx="6788150" cy="10160"/>
                <wp:effectExtent l="0" t="0" r="0" b="0"/>
                <wp:wrapNone/>
                <wp:docPr id="49" name="Graphic 49"/>
                <wp:cNvGraphicFramePr>
                  <a:graphicFrameLocks/>
                </wp:cNvGraphicFramePr>
                <a:graphic>
                  <a:graphicData uri="http://schemas.microsoft.com/office/word/2010/wordprocessingShape">
                    <wps:wsp>
                      <wps:cNvPr id="49" name="Graphic 49"/>
                      <wps:cNvSpPr/>
                      <wps:spPr>
                        <a:xfrm>
                          <a:off x="0" y="0"/>
                          <a:ext cx="6788150" cy="10160"/>
                        </a:xfrm>
                        <a:custGeom>
                          <a:avLst/>
                          <a:gdLst/>
                          <a:ahLst/>
                          <a:cxnLst/>
                          <a:rect l="l" t="t" r="r" b="b"/>
                          <a:pathLst>
                            <a:path w="6788150" h="10160">
                              <a:moveTo>
                                <a:pt x="6787892" y="9533"/>
                              </a:moveTo>
                              <a:lnTo>
                                <a:pt x="0" y="9533"/>
                              </a:lnTo>
                              <a:lnTo>
                                <a:pt x="0" y="0"/>
                              </a:lnTo>
                              <a:lnTo>
                                <a:pt x="6787892" y="0"/>
                              </a:lnTo>
                              <a:lnTo>
                                <a:pt x="6787892" y="9533"/>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rect style="position:absolute;margin-left:34.00539pt;margin-top:69.376808pt;width:534.479725pt;height:.750674pt;mso-position-horizontal-relative:page;mso-position-vertical-relative:paragraph;z-index:15736832" id="docshape45" filled="true" fillcolor="#999999" stroked="false">
                <v:fill type="solid"/>
                <w10:wrap type="none"/>
              </v:rect>
            </w:pict>
          </mc:Fallback>
        </mc:AlternateContent>
      </w:r>
      <w:r>
        <w:rPr>
          <w:rFonts w:ascii="Arial MT"/>
          <w:color w:val="333333"/>
          <w:spacing w:val="-5"/>
          <w:sz w:val="60"/>
        </w:rPr>
        <w:t>&lt;</w:t>
      </w:r>
      <w:r>
        <w:rPr>
          <w:rFonts w:ascii="Arial MT"/>
          <w:color w:val="333333"/>
          <w:spacing w:val="-5"/>
          <w:sz w:val="75"/>
        </w:rPr>
        <w:t>1</w:t>
      </w:r>
      <w:r>
        <w:rPr>
          <w:rFonts w:ascii="Arial MT"/>
          <w:color w:val="333333"/>
          <w:spacing w:val="-5"/>
          <w:sz w:val="36"/>
        </w:rPr>
        <w:t>%</w:t>
      </w:r>
    </w:p>
    <w:p>
      <w:pPr>
        <w:spacing w:before="354"/>
        <w:ind w:left="0" w:right="19" w:firstLine="0"/>
        <w:jc w:val="right"/>
        <w:rPr>
          <w:rFonts w:ascii="Arial MT"/>
          <w:sz w:val="36"/>
        </w:rPr>
      </w:pPr>
      <w:r>
        <w:rPr>
          <w:rFonts w:ascii="Arial MT"/>
          <w:sz w:val="36"/>
        </w:rPr>
        <mc:AlternateContent>
          <mc:Choice Requires="wps">
            <w:drawing>
              <wp:anchor distT="0" distB="0" distL="0" distR="0" allowOverlap="1" layoutInCell="1" locked="0" behindDoc="0" simplePos="0" relativeHeight="15737344">
                <wp:simplePos x="0" y="0"/>
                <wp:positionH relativeFrom="page">
                  <wp:posOffset>431868</wp:posOffset>
                </wp:positionH>
                <wp:positionV relativeFrom="paragraph">
                  <wp:posOffset>881507</wp:posOffset>
                </wp:positionV>
                <wp:extent cx="6788150" cy="10160"/>
                <wp:effectExtent l="0" t="0" r="0" b="0"/>
                <wp:wrapNone/>
                <wp:docPr id="50" name="Graphic 50"/>
                <wp:cNvGraphicFramePr>
                  <a:graphicFrameLocks/>
                </wp:cNvGraphicFramePr>
                <a:graphic>
                  <a:graphicData uri="http://schemas.microsoft.com/office/word/2010/wordprocessingShape">
                    <wps:wsp>
                      <wps:cNvPr id="50" name="Graphic 50"/>
                      <wps:cNvSpPr/>
                      <wps:spPr>
                        <a:xfrm>
                          <a:off x="0" y="0"/>
                          <a:ext cx="6788150" cy="10160"/>
                        </a:xfrm>
                        <a:custGeom>
                          <a:avLst/>
                          <a:gdLst/>
                          <a:ahLst/>
                          <a:cxnLst/>
                          <a:rect l="l" t="t" r="r" b="b"/>
                          <a:pathLst>
                            <a:path w="6788150" h="10160">
                              <a:moveTo>
                                <a:pt x="6787892" y="9533"/>
                              </a:moveTo>
                              <a:lnTo>
                                <a:pt x="0" y="9533"/>
                              </a:lnTo>
                              <a:lnTo>
                                <a:pt x="0" y="0"/>
                              </a:lnTo>
                              <a:lnTo>
                                <a:pt x="6787892" y="0"/>
                              </a:lnTo>
                              <a:lnTo>
                                <a:pt x="6787892" y="9533"/>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rect style="position:absolute;margin-left:34.00539pt;margin-top:69.410049pt;width:534.479725pt;height:.750674pt;mso-position-horizontal-relative:page;mso-position-vertical-relative:paragraph;z-index:15737344" id="docshape46" filled="true" fillcolor="#999999" stroked="false">
                <v:fill type="solid"/>
                <w10:wrap type="none"/>
              </v:rect>
            </w:pict>
          </mc:Fallback>
        </mc:AlternateContent>
      </w:r>
      <w:r>
        <w:rPr>
          <w:rFonts w:ascii="Arial MT"/>
          <w:color w:val="333333"/>
          <w:spacing w:val="-5"/>
          <w:sz w:val="60"/>
        </w:rPr>
        <w:t>&lt;</w:t>
      </w:r>
      <w:r>
        <w:rPr>
          <w:rFonts w:ascii="Arial MT"/>
          <w:color w:val="333333"/>
          <w:spacing w:val="-5"/>
          <w:sz w:val="75"/>
        </w:rPr>
        <w:t>1</w:t>
      </w:r>
      <w:r>
        <w:rPr>
          <w:rFonts w:ascii="Arial MT"/>
          <w:color w:val="333333"/>
          <w:spacing w:val="-5"/>
          <w:sz w:val="36"/>
        </w:rPr>
        <w:t>%</w:t>
      </w:r>
    </w:p>
    <w:p>
      <w:pPr>
        <w:spacing w:before="354"/>
        <w:ind w:left="0" w:right="19" w:firstLine="0"/>
        <w:jc w:val="right"/>
        <w:rPr>
          <w:rFonts w:ascii="Arial MT"/>
          <w:sz w:val="36"/>
        </w:rPr>
      </w:pPr>
      <w:r>
        <w:rPr>
          <w:rFonts w:ascii="Arial MT"/>
          <w:sz w:val="36"/>
        </w:rPr>
        <mc:AlternateContent>
          <mc:Choice Requires="wps">
            <w:drawing>
              <wp:anchor distT="0" distB="0" distL="0" distR="0" allowOverlap="1" layoutInCell="1" locked="0" behindDoc="0" simplePos="0" relativeHeight="15737856">
                <wp:simplePos x="0" y="0"/>
                <wp:positionH relativeFrom="page">
                  <wp:posOffset>431868</wp:posOffset>
                </wp:positionH>
                <wp:positionV relativeFrom="paragraph">
                  <wp:posOffset>881294</wp:posOffset>
                </wp:positionV>
                <wp:extent cx="6788150" cy="10160"/>
                <wp:effectExtent l="0" t="0" r="0" b="0"/>
                <wp:wrapNone/>
                <wp:docPr id="51" name="Graphic 51"/>
                <wp:cNvGraphicFramePr>
                  <a:graphicFrameLocks/>
                </wp:cNvGraphicFramePr>
                <a:graphic>
                  <a:graphicData uri="http://schemas.microsoft.com/office/word/2010/wordprocessingShape">
                    <wps:wsp>
                      <wps:cNvPr id="51" name="Graphic 51"/>
                      <wps:cNvSpPr/>
                      <wps:spPr>
                        <a:xfrm>
                          <a:off x="0" y="0"/>
                          <a:ext cx="6788150" cy="10160"/>
                        </a:xfrm>
                        <a:custGeom>
                          <a:avLst/>
                          <a:gdLst/>
                          <a:ahLst/>
                          <a:cxnLst/>
                          <a:rect l="l" t="t" r="r" b="b"/>
                          <a:pathLst>
                            <a:path w="6788150" h="10160">
                              <a:moveTo>
                                <a:pt x="6787892" y="9533"/>
                              </a:moveTo>
                              <a:lnTo>
                                <a:pt x="0" y="9533"/>
                              </a:lnTo>
                              <a:lnTo>
                                <a:pt x="0" y="0"/>
                              </a:lnTo>
                              <a:lnTo>
                                <a:pt x="6787892" y="0"/>
                              </a:lnTo>
                              <a:lnTo>
                                <a:pt x="6787892" y="9533"/>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rect style="position:absolute;margin-left:34.00539pt;margin-top:69.393288pt;width:534.479725pt;height:.750674pt;mso-position-horizontal-relative:page;mso-position-vertical-relative:paragraph;z-index:15737856" id="docshape47" filled="true" fillcolor="#999999" stroked="false">
                <v:fill type="solid"/>
                <w10:wrap type="none"/>
              </v:rect>
            </w:pict>
          </mc:Fallback>
        </mc:AlternateContent>
      </w:r>
      <w:r>
        <w:rPr>
          <w:rFonts w:ascii="Arial MT"/>
          <w:color w:val="333333"/>
          <w:spacing w:val="-5"/>
          <w:sz w:val="60"/>
        </w:rPr>
        <w:t>&lt;</w:t>
      </w:r>
      <w:r>
        <w:rPr>
          <w:rFonts w:ascii="Arial MT"/>
          <w:color w:val="333333"/>
          <w:spacing w:val="-5"/>
          <w:sz w:val="75"/>
        </w:rPr>
        <w:t>1</w:t>
      </w:r>
      <w:r>
        <w:rPr>
          <w:rFonts w:ascii="Arial MT"/>
          <w:color w:val="333333"/>
          <w:spacing w:val="-5"/>
          <w:sz w:val="36"/>
        </w:rPr>
        <w:t>%</w:t>
      </w:r>
    </w:p>
    <w:p>
      <w:pPr>
        <w:spacing w:after="0"/>
        <w:jc w:val="right"/>
        <w:rPr>
          <w:rFonts w:ascii="Arial MT"/>
          <w:sz w:val="36"/>
        </w:rPr>
        <w:sectPr>
          <w:type w:val="continuous"/>
          <w:pgSz w:w="12240" w:h="15840"/>
          <w:pgMar w:top="0" w:bottom="0" w:left="850" w:right="850"/>
          <w:cols w:num="2" w:equalWidth="0">
            <w:col w:w="8018" w:space="1276"/>
            <w:col w:w="1246"/>
          </w:cols>
        </w:sectPr>
      </w:pPr>
    </w:p>
    <w:p>
      <w:pPr>
        <w:pStyle w:val="BodyText"/>
        <w:spacing w:before="4"/>
        <w:rPr>
          <w:rFonts w:ascii="Arial MT"/>
          <w:sz w:val="17"/>
        </w:rPr>
      </w:pPr>
      <w:r>
        <w:rPr>
          <w:rFonts w:ascii="Arial MT"/>
          <w:sz w:val="17"/>
        </w:rPr>
        <mc:AlternateContent>
          <mc:Choice Requires="wps">
            <w:drawing>
              <wp:anchor distT="0" distB="0" distL="0" distR="0" allowOverlap="1" layoutInCell="1" locked="0" behindDoc="0" simplePos="0" relativeHeight="15742976">
                <wp:simplePos x="0" y="0"/>
                <wp:positionH relativeFrom="page">
                  <wp:posOffset>0</wp:posOffset>
                </wp:positionH>
                <wp:positionV relativeFrom="page">
                  <wp:posOffset>0</wp:posOffset>
                </wp:positionV>
                <wp:extent cx="7559040" cy="10692130"/>
                <wp:effectExtent l="0" t="0" r="0" b="0"/>
                <wp:wrapNone/>
                <wp:docPr id="52" name="Group 52"/>
                <wp:cNvGraphicFramePr>
                  <a:graphicFrameLocks/>
                </wp:cNvGraphicFramePr>
                <a:graphic>
                  <a:graphicData uri="http://schemas.microsoft.com/office/word/2010/wordprocessingGroup">
                    <wpg:wgp>
                      <wpg:cNvPr id="52" name="Group 52"/>
                      <wpg:cNvGrpSpPr/>
                      <wpg:grpSpPr>
                        <a:xfrm>
                          <a:off x="0" y="0"/>
                          <a:ext cx="7559040" cy="10692130"/>
                          <a:chExt cx="7559040" cy="10692130"/>
                        </a:xfrm>
                      </wpg:grpSpPr>
                      <pic:pic>
                        <pic:nvPicPr>
                          <pic:cNvPr id="53" name="Image 53" descr="Tabla  Descripción generada automáticamente"/>
                          <pic:cNvPicPr/>
                        </pic:nvPicPr>
                        <pic:blipFill>
                          <a:blip r:embed="rId14" cstate="print"/>
                          <a:stretch>
                            <a:fillRect/>
                          </a:stretch>
                        </pic:blipFill>
                        <pic:spPr>
                          <a:xfrm>
                            <a:off x="137160" y="147314"/>
                            <a:ext cx="7315200" cy="10317059"/>
                          </a:xfrm>
                          <a:prstGeom prst="rect">
                            <a:avLst/>
                          </a:prstGeom>
                        </pic:spPr>
                      </pic:pic>
                      <pic:pic>
                        <pic:nvPicPr>
                          <pic:cNvPr id="54" name="Image 54"/>
                          <pic:cNvPicPr/>
                        </pic:nvPicPr>
                        <pic:blipFill>
                          <a:blip r:embed="rId5" cstate="print"/>
                          <a:stretch>
                            <a:fillRect/>
                          </a:stretch>
                        </pic:blipFill>
                        <pic:spPr>
                          <a:xfrm>
                            <a:off x="0" y="0"/>
                            <a:ext cx="7559040" cy="858265"/>
                          </a:xfrm>
                          <a:prstGeom prst="rect">
                            <a:avLst/>
                          </a:prstGeom>
                        </pic:spPr>
                      </pic:pic>
                      <pic:pic>
                        <pic:nvPicPr>
                          <pic:cNvPr id="55" name="Image 55"/>
                          <pic:cNvPicPr/>
                        </pic:nvPicPr>
                        <pic:blipFill>
                          <a:blip r:embed="rId6" cstate="print"/>
                          <a:stretch>
                            <a:fillRect/>
                          </a:stretch>
                        </pic:blipFill>
                        <pic:spPr>
                          <a:xfrm>
                            <a:off x="0" y="10125202"/>
                            <a:ext cx="7559040" cy="566928"/>
                          </a:xfrm>
                          <a:prstGeom prst="rect">
                            <a:avLst/>
                          </a:prstGeom>
                        </pic:spPr>
                      </pic:pic>
                    </wpg:wgp>
                  </a:graphicData>
                </a:graphic>
              </wp:anchor>
            </w:drawing>
          </mc:Choice>
          <mc:Fallback>
            <w:pict>
              <v:group style="position:absolute;margin-left:0pt;margin-top:.000024pt;width:595.2pt;height:841.9pt;mso-position-horizontal-relative:page;mso-position-vertical-relative:page;z-index:15742976" id="docshapegroup48" coordorigin="0,0" coordsize="11904,16838">
                <v:shape style="position:absolute;left:216;top:232;width:11520;height:16248" type="#_x0000_t75" id="docshape49" alt="Tabla  Descripción generada automáticamente" stroked="false">
                  <v:imagedata r:id="rId14" o:title=""/>
                </v:shape>
                <v:shape style="position:absolute;left:0;top:0;width:11904;height:1352" type="#_x0000_t75" id="docshape50" stroked="false">
                  <v:imagedata r:id="rId5" o:title=""/>
                </v:shape>
                <v:shape style="position:absolute;left:0;top:15945;width:11904;height:893" type="#_x0000_t75" id="docshape51" stroked="false">
                  <v:imagedata r:id="rId6" o:title=""/>
                </v:shape>
                <w10:wrap type="none"/>
              </v:group>
            </w:pict>
          </mc:Fallback>
        </mc:AlternateContent>
      </w:r>
    </w:p>
    <w:p>
      <w:pPr>
        <w:pStyle w:val="BodyText"/>
        <w:spacing w:after="0"/>
        <w:rPr>
          <w:rFonts w:ascii="Arial MT"/>
          <w:sz w:val="17"/>
        </w:rPr>
        <w:sectPr>
          <w:pgSz w:w="11910" w:h="16840"/>
          <w:pgMar w:top="1920" w:bottom="280" w:left="1559" w:right="425"/>
        </w:sectPr>
      </w:pPr>
    </w:p>
    <w:p>
      <w:pPr>
        <w:pStyle w:val="BodyText"/>
        <w:spacing w:before="4"/>
        <w:rPr>
          <w:rFonts w:ascii="Arial MT"/>
          <w:sz w:val="17"/>
        </w:rPr>
      </w:pPr>
      <w:r>
        <w:rPr>
          <w:rFonts w:ascii="Arial MT"/>
          <w:sz w:val="17"/>
        </w:rPr>
        <mc:AlternateContent>
          <mc:Choice Requires="wps">
            <w:drawing>
              <wp:anchor distT="0" distB="0" distL="0" distR="0" allowOverlap="1" layoutInCell="1" locked="0" behindDoc="0" simplePos="0" relativeHeight="15743488">
                <wp:simplePos x="0" y="0"/>
                <wp:positionH relativeFrom="page">
                  <wp:posOffset>0</wp:posOffset>
                </wp:positionH>
                <wp:positionV relativeFrom="page">
                  <wp:posOffset>0</wp:posOffset>
                </wp:positionV>
                <wp:extent cx="7559040" cy="10692130"/>
                <wp:effectExtent l="0" t="0" r="0" b="0"/>
                <wp:wrapNone/>
                <wp:docPr id="56" name="Group 56"/>
                <wp:cNvGraphicFramePr>
                  <a:graphicFrameLocks/>
                </wp:cNvGraphicFramePr>
                <a:graphic>
                  <a:graphicData uri="http://schemas.microsoft.com/office/word/2010/wordprocessingGroup">
                    <wpg:wgp>
                      <wpg:cNvPr id="56" name="Group 56"/>
                      <wpg:cNvGrpSpPr/>
                      <wpg:grpSpPr>
                        <a:xfrm>
                          <a:off x="0" y="0"/>
                          <a:ext cx="7559040" cy="10692130"/>
                          <a:chExt cx="7559040" cy="10692130"/>
                        </a:xfrm>
                      </wpg:grpSpPr>
                      <pic:pic>
                        <pic:nvPicPr>
                          <pic:cNvPr id="57" name="Image 57" descr="Imagen que contiene Escala de tiempo  Descripción generada automáticamente"/>
                          <pic:cNvPicPr/>
                        </pic:nvPicPr>
                        <pic:blipFill>
                          <a:blip r:embed="rId15" cstate="print"/>
                          <a:stretch>
                            <a:fillRect/>
                          </a:stretch>
                        </pic:blipFill>
                        <pic:spPr>
                          <a:xfrm>
                            <a:off x="89536" y="166363"/>
                            <a:ext cx="7334884" cy="10403132"/>
                          </a:xfrm>
                          <a:prstGeom prst="rect">
                            <a:avLst/>
                          </a:prstGeom>
                        </pic:spPr>
                      </pic:pic>
                      <pic:pic>
                        <pic:nvPicPr>
                          <pic:cNvPr id="58" name="Image 58"/>
                          <pic:cNvPicPr/>
                        </pic:nvPicPr>
                        <pic:blipFill>
                          <a:blip r:embed="rId5" cstate="print"/>
                          <a:stretch>
                            <a:fillRect/>
                          </a:stretch>
                        </pic:blipFill>
                        <pic:spPr>
                          <a:xfrm>
                            <a:off x="0" y="0"/>
                            <a:ext cx="7559040" cy="858265"/>
                          </a:xfrm>
                          <a:prstGeom prst="rect">
                            <a:avLst/>
                          </a:prstGeom>
                        </pic:spPr>
                      </pic:pic>
                      <pic:pic>
                        <pic:nvPicPr>
                          <pic:cNvPr id="59" name="Image 59"/>
                          <pic:cNvPicPr/>
                        </pic:nvPicPr>
                        <pic:blipFill>
                          <a:blip r:embed="rId6" cstate="print"/>
                          <a:stretch>
                            <a:fillRect/>
                          </a:stretch>
                        </pic:blipFill>
                        <pic:spPr>
                          <a:xfrm>
                            <a:off x="0" y="10125202"/>
                            <a:ext cx="7559040" cy="566928"/>
                          </a:xfrm>
                          <a:prstGeom prst="rect">
                            <a:avLst/>
                          </a:prstGeom>
                        </pic:spPr>
                      </pic:pic>
                    </wpg:wgp>
                  </a:graphicData>
                </a:graphic>
              </wp:anchor>
            </w:drawing>
          </mc:Choice>
          <mc:Fallback>
            <w:pict>
              <v:group style="position:absolute;margin-left:0pt;margin-top:.000024pt;width:595.2pt;height:841.9pt;mso-position-horizontal-relative:page;mso-position-vertical-relative:page;z-index:15743488" id="docshapegroup52" coordorigin="0,0" coordsize="11904,16838">
                <v:shape style="position:absolute;left:141;top:262;width:11551;height:16383" type="#_x0000_t75" id="docshape53" alt="Imagen que contiene Escala de tiempo  Descripción generada automáticamente" stroked="false">
                  <v:imagedata r:id="rId15" o:title=""/>
                </v:shape>
                <v:shape style="position:absolute;left:0;top:0;width:11904;height:1352" type="#_x0000_t75" id="docshape54" stroked="false">
                  <v:imagedata r:id="rId5" o:title=""/>
                </v:shape>
                <v:shape style="position:absolute;left:0;top:15945;width:11904;height:893" type="#_x0000_t75" id="docshape55" stroked="false">
                  <v:imagedata r:id="rId6" o:title=""/>
                </v:shape>
                <w10:wrap type="none"/>
              </v:group>
            </w:pict>
          </mc:Fallback>
        </mc:AlternateContent>
      </w:r>
    </w:p>
    <w:p>
      <w:pPr>
        <w:pStyle w:val="BodyText"/>
        <w:spacing w:after="0"/>
        <w:rPr>
          <w:rFonts w:ascii="Arial MT"/>
          <w:sz w:val="17"/>
        </w:rPr>
        <w:sectPr>
          <w:pgSz w:w="11910" w:h="16840"/>
          <w:pgMar w:top="1920" w:bottom="280" w:left="1559" w:right="425"/>
        </w:sectPr>
      </w:pPr>
    </w:p>
    <w:p>
      <w:pPr>
        <w:pStyle w:val="BodyText"/>
        <w:rPr>
          <w:rFonts w:ascii="Arial MT"/>
        </w:rPr>
      </w:pPr>
      <w:r>
        <w:rPr>
          <w:rFonts w:ascii="Arial MT"/>
        </w:rPr>
        <mc:AlternateContent>
          <mc:Choice Requires="wps">
            <w:drawing>
              <wp:anchor distT="0" distB="0" distL="0" distR="0" allowOverlap="1" layoutInCell="1" locked="0" behindDoc="1" simplePos="0" relativeHeight="485998080">
                <wp:simplePos x="0" y="0"/>
                <wp:positionH relativeFrom="page">
                  <wp:posOffset>0</wp:posOffset>
                </wp:positionH>
                <wp:positionV relativeFrom="page">
                  <wp:posOffset>0</wp:posOffset>
                </wp:positionV>
                <wp:extent cx="7559040" cy="10692130"/>
                <wp:effectExtent l="0" t="0" r="0" b="0"/>
                <wp:wrapNone/>
                <wp:docPr id="60" name="Group 60"/>
                <wp:cNvGraphicFramePr>
                  <a:graphicFrameLocks/>
                </wp:cNvGraphicFramePr>
                <a:graphic>
                  <a:graphicData uri="http://schemas.microsoft.com/office/word/2010/wordprocessingGroup">
                    <wpg:wgp>
                      <wpg:cNvPr id="60" name="Group 60"/>
                      <wpg:cNvGrpSpPr/>
                      <wpg:grpSpPr>
                        <a:xfrm>
                          <a:off x="0" y="0"/>
                          <a:ext cx="7559040" cy="10692130"/>
                          <a:chExt cx="7559040" cy="10692130"/>
                        </a:xfrm>
                      </wpg:grpSpPr>
                      <pic:pic>
                        <pic:nvPicPr>
                          <pic:cNvPr id="61" name="Image 61" descr="Texto, Carta  Descripción generada automáticamente"/>
                          <pic:cNvPicPr/>
                        </pic:nvPicPr>
                        <pic:blipFill>
                          <a:blip r:embed="rId16" cstate="print"/>
                          <a:stretch>
                            <a:fillRect/>
                          </a:stretch>
                        </pic:blipFill>
                        <pic:spPr>
                          <a:xfrm>
                            <a:off x="80011" y="13970"/>
                            <a:ext cx="7369556" cy="10476865"/>
                          </a:xfrm>
                          <a:prstGeom prst="rect">
                            <a:avLst/>
                          </a:prstGeom>
                        </pic:spPr>
                      </pic:pic>
                      <pic:pic>
                        <pic:nvPicPr>
                          <pic:cNvPr id="62" name="Image 62" descr="Texto, Carta  Descripción generada automáticamente"/>
                          <pic:cNvPicPr/>
                        </pic:nvPicPr>
                        <pic:blipFill>
                          <a:blip r:embed="rId17" cstate="print"/>
                          <a:stretch>
                            <a:fillRect/>
                          </a:stretch>
                        </pic:blipFill>
                        <pic:spPr>
                          <a:xfrm>
                            <a:off x="923925" y="9048750"/>
                            <a:ext cx="1472564" cy="637933"/>
                          </a:xfrm>
                          <a:prstGeom prst="rect">
                            <a:avLst/>
                          </a:prstGeom>
                        </pic:spPr>
                      </pic:pic>
                      <pic:pic>
                        <pic:nvPicPr>
                          <pic:cNvPr id="63" name="Image 63"/>
                          <pic:cNvPicPr/>
                        </pic:nvPicPr>
                        <pic:blipFill>
                          <a:blip r:embed="rId5" cstate="print"/>
                          <a:stretch>
                            <a:fillRect/>
                          </a:stretch>
                        </pic:blipFill>
                        <pic:spPr>
                          <a:xfrm>
                            <a:off x="0" y="0"/>
                            <a:ext cx="7559040" cy="858265"/>
                          </a:xfrm>
                          <a:prstGeom prst="rect">
                            <a:avLst/>
                          </a:prstGeom>
                        </pic:spPr>
                      </pic:pic>
                      <pic:pic>
                        <pic:nvPicPr>
                          <pic:cNvPr id="64" name="Image 64"/>
                          <pic:cNvPicPr/>
                        </pic:nvPicPr>
                        <pic:blipFill>
                          <a:blip r:embed="rId6" cstate="print"/>
                          <a:stretch>
                            <a:fillRect/>
                          </a:stretch>
                        </pic:blipFill>
                        <pic:spPr>
                          <a:xfrm>
                            <a:off x="0" y="10125202"/>
                            <a:ext cx="7559040" cy="566928"/>
                          </a:xfrm>
                          <a:prstGeom prst="rect">
                            <a:avLst/>
                          </a:prstGeom>
                        </pic:spPr>
                      </pic:pic>
                    </wpg:wgp>
                  </a:graphicData>
                </a:graphic>
              </wp:anchor>
            </w:drawing>
          </mc:Choice>
          <mc:Fallback>
            <w:pict>
              <v:group style="position:absolute;margin-left:0pt;margin-top:.000024pt;width:595.2pt;height:841.9pt;mso-position-horizontal-relative:page;mso-position-vertical-relative:page;z-index:-17318400" id="docshapegroup56" coordorigin="0,0" coordsize="11904,16838">
                <v:shape style="position:absolute;left:126;top:22;width:11606;height:16499" type="#_x0000_t75" id="docshape57" alt="Texto, Carta  Descripción generada automáticamente" stroked="false">
                  <v:imagedata r:id="rId16" o:title=""/>
                </v:shape>
                <v:shape style="position:absolute;left:1455;top:14250;width:2319;height:1005" type="#_x0000_t75" id="docshape58" alt="Texto, Carta  Descripción generada automáticamente" stroked="false">
                  <v:imagedata r:id="rId17" o:title=""/>
                </v:shape>
                <v:shape style="position:absolute;left:0;top:0;width:11904;height:1352" type="#_x0000_t75" id="docshape59" stroked="false">
                  <v:imagedata r:id="rId5" o:title=""/>
                </v:shape>
                <v:shape style="position:absolute;left:0;top:15945;width:11904;height:893" type="#_x0000_t75" id="docshape60" stroked="false">
                  <v:imagedata r:id="rId6" o:title=""/>
                </v:shape>
                <w10:wrap type="none"/>
              </v:group>
            </w:pict>
          </mc:Fallback>
        </mc:AlternateContent>
      </w: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spacing w:before="34"/>
        <w:rPr>
          <w:rFonts w:ascii="Arial MT"/>
        </w:rPr>
      </w:pPr>
    </w:p>
    <w:p>
      <w:pPr>
        <w:pStyle w:val="BodyText"/>
        <w:tabs>
          <w:tab w:pos="6255" w:val="left" w:leader="none"/>
          <w:tab w:pos="8756" w:val="right" w:leader="none"/>
        </w:tabs>
        <w:ind w:left="4890"/>
        <w:rPr>
          <w:position w:val="-2"/>
          <w:sz w:val="22"/>
        </w:rPr>
      </w:pPr>
      <w:r>
        <w:rPr>
          <w:spacing w:val="-5"/>
        </w:rPr>
        <w:t>30</w:t>
      </w:r>
      <w:r>
        <w:rPr/>
        <w:tab/>
      </w:r>
      <w:r>
        <w:rPr>
          <w:spacing w:val="-2"/>
        </w:rPr>
        <w:t>Diciembre</w:t>
      </w:r>
      <w:r>
        <w:rPr/>
        <w:tab/>
      </w:r>
      <w:r>
        <w:rPr>
          <w:spacing w:val="-5"/>
          <w:position w:val="-2"/>
          <w:sz w:val="22"/>
        </w:rPr>
        <w:t>24</w:t>
      </w:r>
    </w:p>
    <w:p>
      <w:pPr>
        <w:pStyle w:val="BodyText"/>
        <w:spacing w:after="0"/>
        <w:rPr>
          <w:position w:val="-2"/>
          <w:sz w:val="22"/>
        </w:rPr>
        <w:sectPr>
          <w:pgSz w:w="11910" w:h="16840"/>
          <w:pgMar w:top="1920" w:bottom="280" w:left="1559" w:right="425"/>
        </w:sectPr>
      </w:pPr>
    </w:p>
    <w:p>
      <w:pPr>
        <w:pStyle w:val="Heading2"/>
        <w:spacing w:before="66"/>
        <w:ind w:left="6340"/>
        <w:jc w:val="left"/>
      </w:pPr>
      <w:bookmarkStart w:name="_bookmark0" w:id="1"/>
      <w:bookmarkEnd w:id="1"/>
      <w:r>
        <w:rPr>
          <w:b w:val="0"/>
        </w:rPr>
      </w:r>
      <w:r>
        <w:rPr>
          <w:spacing w:val="-2"/>
        </w:rPr>
        <w:t>DEDICATORIA</w:t>
      </w:r>
    </w:p>
    <w:p>
      <w:pPr>
        <w:pStyle w:val="BodyText"/>
        <w:spacing w:before="120"/>
        <w:rPr>
          <w:b/>
        </w:rPr>
      </w:pPr>
    </w:p>
    <w:p>
      <w:pPr>
        <w:pStyle w:val="BodyText"/>
        <w:spacing w:line="480" w:lineRule="auto"/>
        <w:ind w:left="4396" w:right="992" w:firstLine="720"/>
        <w:jc w:val="both"/>
      </w:pPr>
      <w:r>
        <w:rPr/>
        <w:t>Dedico esta tesis, en primer lugar, </w:t>
      </w:r>
      <w:r>
        <w:rPr/>
        <w:t>a Dios, quien ha sido mi fuente de inspiración y me ha brindado la fortaleza necesaria para avanzar en este camino hacia la realización de uno de mis más grandes anhelos.</w:t>
      </w:r>
    </w:p>
    <w:p>
      <w:pPr>
        <w:pStyle w:val="BodyText"/>
        <w:spacing w:line="480" w:lineRule="auto" w:before="1"/>
        <w:ind w:left="4396" w:right="989" w:firstLine="1412"/>
        <w:jc w:val="both"/>
      </w:pPr>
      <w:r>
        <w:rPr/>
        <w:t>A mis queridos </w:t>
      </w:r>
      <w:r>
        <w:rPr/>
        <w:t>padres, agradezco su amor, esfuerzo y sacrificio a lo largo de todos estos años de mi formación profesional;</w:t>
      </w:r>
      <w:r>
        <w:rPr>
          <w:spacing w:val="-15"/>
        </w:rPr>
        <w:t> </w:t>
      </w:r>
      <w:r>
        <w:rPr/>
        <w:t>será</w:t>
      </w:r>
      <w:r>
        <w:rPr>
          <w:spacing w:val="-14"/>
        </w:rPr>
        <w:t> </w:t>
      </w:r>
      <w:r>
        <w:rPr/>
        <w:t>un</w:t>
      </w:r>
      <w:r>
        <w:rPr>
          <w:spacing w:val="-11"/>
        </w:rPr>
        <w:t> </w:t>
      </w:r>
      <w:r>
        <w:rPr/>
        <w:t>honor</w:t>
      </w:r>
      <w:r>
        <w:rPr>
          <w:spacing w:val="-13"/>
        </w:rPr>
        <w:t> </w:t>
      </w:r>
      <w:r>
        <w:rPr/>
        <w:t>y</w:t>
      </w:r>
      <w:r>
        <w:rPr>
          <w:spacing w:val="-13"/>
        </w:rPr>
        <w:t> </w:t>
      </w:r>
      <w:r>
        <w:rPr/>
        <w:t>un</w:t>
      </w:r>
      <w:r>
        <w:rPr>
          <w:spacing w:val="-13"/>
        </w:rPr>
        <w:t> </w:t>
      </w:r>
      <w:r>
        <w:rPr/>
        <w:t>privilegio</w:t>
      </w:r>
      <w:r>
        <w:rPr>
          <w:spacing w:val="-12"/>
        </w:rPr>
        <w:t> </w:t>
      </w:r>
      <w:r>
        <w:rPr/>
        <w:t>ser</w:t>
      </w:r>
      <w:r>
        <w:rPr>
          <w:spacing w:val="-13"/>
        </w:rPr>
        <w:t> </w:t>
      </w:r>
      <w:r>
        <w:rPr/>
        <w:t>su hija y haber alcanzado esta meta.</w:t>
      </w:r>
    </w:p>
    <w:p>
      <w:pPr>
        <w:pStyle w:val="BodyText"/>
        <w:spacing w:line="480" w:lineRule="auto" w:before="1"/>
        <w:ind w:left="4396" w:right="990" w:firstLine="1412"/>
        <w:jc w:val="both"/>
      </w:pPr>
      <w:r>
        <w:rPr/>
        <w:t>Asimismo, extiendo mi </w:t>
      </w:r>
      <w:r>
        <w:rPr/>
        <w:t>gratitud a todas las personas que me han brindado su apoyo, especialmente a aquellos que me han abierto sus puertas y compartido sus </w:t>
      </w:r>
      <w:r>
        <w:rPr>
          <w:spacing w:val="-2"/>
        </w:rPr>
        <w:t>conocimientos.</w:t>
      </w:r>
    </w:p>
    <w:p>
      <w:pPr>
        <w:pStyle w:val="BodyText"/>
        <w:spacing w:after="0" w:line="480" w:lineRule="auto"/>
        <w:jc w:val="both"/>
        <w:sectPr>
          <w:headerReference w:type="default" r:id="rId18"/>
          <w:footerReference w:type="default" r:id="rId19"/>
          <w:pgSz w:w="11910" w:h="16840"/>
          <w:pgMar w:header="0" w:footer="693" w:top="1340" w:bottom="880" w:left="1559" w:right="425"/>
          <w:pgNumType w:start="3"/>
        </w:sectPr>
      </w:pPr>
    </w:p>
    <w:p>
      <w:pPr>
        <w:pStyle w:val="Heading2"/>
        <w:spacing w:before="66"/>
        <w:ind w:left="5514"/>
        <w:jc w:val="left"/>
      </w:pPr>
      <w:bookmarkStart w:name="_bookmark1" w:id="2"/>
      <w:bookmarkEnd w:id="2"/>
      <w:r>
        <w:rPr>
          <w:b w:val="0"/>
        </w:rPr>
      </w:r>
      <w:r>
        <w:rPr>
          <w:spacing w:val="-2"/>
        </w:rPr>
        <w:t>AGRADECIMIENTO</w:t>
      </w:r>
    </w:p>
    <w:p>
      <w:pPr>
        <w:pStyle w:val="BodyText"/>
        <w:spacing w:before="120"/>
        <w:rPr>
          <w:b/>
        </w:rPr>
      </w:pPr>
    </w:p>
    <w:p>
      <w:pPr>
        <w:pStyle w:val="BodyText"/>
        <w:spacing w:line="480" w:lineRule="auto"/>
        <w:ind w:left="4396" w:right="990" w:firstLine="720"/>
        <w:jc w:val="both"/>
      </w:pPr>
      <w:r>
        <w:rPr/>
        <w:t>Deseo expresar mi más </w:t>
      </w:r>
      <w:r>
        <w:rPr/>
        <w:t>profundo agradecimiento, en primer lugar, a Dios, por guiarme en mi camino y fortalecerme espiritualmente</w:t>
      </w:r>
      <w:r>
        <w:rPr>
          <w:spacing w:val="-9"/>
        </w:rPr>
        <w:t> </w:t>
      </w:r>
      <w:r>
        <w:rPr/>
        <w:t>para</w:t>
      </w:r>
      <w:r>
        <w:rPr>
          <w:spacing w:val="-8"/>
        </w:rPr>
        <w:t> </w:t>
      </w:r>
      <w:r>
        <w:rPr/>
        <w:t>emprender</w:t>
      </w:r>
      <w:r>
        <w:rPr>
          <w:spacing w:val="-9"/>
        </w:rPr>
        <w:t> </w:t>
      </w:r>
      <w:r>
        <w:rPr/>
        <w:t>una</w:t>
      </w:r>
      <w:r>
        <w:rPr>
          <w:spacing w:val="-9"/>
        </w:rPr>
        <w:t> </w:t>
      </w:r>
      <w:r>
        <w:rPr/>
        <w:t>trayectoria llena de éxitos.</w:t>
      </w:r>
    </w:p>
    <w:p>
      <w:pPr>
        <w:pStyle w:val="BodyText"/>
        <w:spacing w:line="480" w:lineRule="auto" w:before="1"/>
        <w:ind w:left="4396" w:right="989" w:firstLine="720"/>
        <w:jc w:val="both"/>
      </w:pPr>
      <w:r>
        <w:rPr/>
        <w:t>También quiero reconocer a todas las personas que han estado a mi lado en mi vida profesional; su apoyo ha sido fundamental </w:t>
      </w:r>
      <w:r>
        <w:rPr/>
        <w:t>en este</w:t>
      </w:r>
      <w:r>
        <w:rPr>
          <w:spacing w:val="-10"/>
        </w:rPr>
        <w:t> </w:t>
      </w:r>
      <w:r>
        <w:rPr/>
        <w:t>sueño</w:t>
      </w:r>
      <w:r>
        <w:rPr>
          <w:spacing w:val="-8"/>
        </w:rPr>
        <w:t> </w:t>
      </w:r>
      <w:r>
        <w:rPr/>
        <w:t>tan</w:t>
      </w:r>
      <w:r>
        <w:rPr>
          <w:spacing w:val="-8"/>
        </w:rPr>
        <w:t> </w:t>
      </w:r>
      <w:r>
        <w:rPr/>
        <w:t>significativo</w:t>
      </w:r>
      <w:r>
        <w:rPr>
          <w:spacing w:val="-8"/>
        </w:rPr>
        <w:t> </w:t>
      </w:r>
      <w:r>
        <w:rPr/>
        <w:t>para</w:t>
      </w:r>
      <w:r>
        <w:rPr>
          <w:spacing w:val="-9"/>
        </w:rPr>
        <w:t> </w:t>
      </w:r>
      <w:r>
        <w:rPr/>
        <w:t>mí.</w:t>
      </w:r>
      <w:r>
        <w:rPr>
          <w:spacing w:val="-9"/>
        </w:rPr>
        <w:t> </w:t>
      </w:r>
      <w:r>
        <w:rPr/>
        <w:t>Agradezco cada una de sus ayudas, sus palabras motivadoras,</w:t>
      </w:r>
      <w:r>
        <w:rPr>
          <w:spacing w:val="-14"/>
        </w:rPr>
        <w:t> </w:t>
      </w:r>
      <w:r>
        <w:rPr/>
        <w:t>sus</w:t>
      </w:r>
      <w:r>
        <w:rPr>
          <w:spacing w:val="-14"/>
        </w:rPr>
        <w:t> </w:t>
      </w:r>
      <w:r>
        <w:rPr/>
        <w:t>conocimientos,</w:t>
      </w:r>
      <w:r>
        <w:rPr>
          <w:spacing w:val="-14"/>
        </w:rPr>
        <w:t> </w:t>
      </w:r>
      <w:r>
        <w:rPr/>
        <w:t>sus</w:t>
      </w:r>
      <w:r>
        <w:rPr>
          <w:spacing w:val="-14"/>
        </w:rPr>
        <w:t> </w:t>
      </w:r>
      <w:r>
        <w:rPr/>
        <w:t>consejos</w:t>
      </w:r>
      <w:r>
        <w:rPr>
          <w:spacing w:val="-12"/>
        </w:rPr>
        <w:t> </w:t>
      </w:r>
      <w:r>
        <w:rPr/>
        <w:t>y su dedicación.</w:t>
      </w:r>
    </w:p>
    <w:p>
      <w:pPr>
        <w:pStyle w:val="BodyText"/>
        <w:spacing w:line="480" w:lineRule="auto" w:before="1"/>
        <w:ind w:left="4396" w:right="992" w:firstLine="720"/>
        <w:jc w:val="both"/>
      </w:pPr>
      <w:r>
        <w:rPr/>
        <w:t>Finalmente, quiero agradecer a la base de</w:t>
      </w:r>
      <w:r>
        <w:rPr>
          <w:spacing w:val="-15"/>
        </w:rPr>
        <w:t> </w:t>
      </w:r>
      <w:r>
        <w:rPr/>
        <w:t>todo:</w:t>
      </w:r>
      <w:r>
        <w:rPr>
          <w:spacing w:val="-15"/>
        </w:rPr>
        <w:t> </w:t>
      </w:r>
      <w:r>
        <w:rPr/>
        <w:t>mi</w:t>
      </w:r>
      <w:r>
        <w:rPr>
          <w:spacing w:val="-15"/>
        </w:rPr>
        <w:t> </w:t>
      </w:r>
      <w:r>
        <w:rPr/>
        <w:t>familia,</w:t>
      </w:r>
      <w:r>
        <w:rPr>
          <w:spacing w:val="-15"/>
        </w:rPr>
        <w:t> </w:t>
      </w:r>
      <w:r>
        <w:rPr/>
        <w:t>especialmente</w:t>
      </w:r>
      <w:r>
        <w:rPr>
          <w:spacing w:val="-15"/>
        </w:rPr>
        <w:t> </w:t>
      </w:r>
      <w:r>
        <w:rPr/>
        <w:t>a</w:t>
      </w:r>
      <w:r>
        <w:rPr>
          <w:spacing w:val="-15"/>
        </w:rPr>
        <w:t> </w:t>
      </w:r>
      <w:r>
        <w:rPr/>
        <w:t>mis</w:t>
      </w:r>
      <w:r>
        <w:rPr>
          <w:spacing w:val="-15"/>
        </w:rPr>
        <w:t> </w:t>
      </w:r>
      <w:r>
        <w:rPr/>
        <w:t>padres. Sus consejos han sido el motor que me </w:t>
      </w:r>
      <w:r>
        <w:rPr/>
        <w:t>ha impulsado y mi constante motivación. Les agradezco profundamente por su paciencia, comprensión y, sobre todo, por su amor </w:t>
      </w:r>
      <w:r>
        <w:rPr>
          <w:spacing w:val="-2"/>
        </w:rPr>
        <w:t>incondicional.</w:t>
      </w:r>
    </w:p>
    <w:p>
      <w:pPr>
        <w:pStyle w:val="BodyText"/>
        <w:spacing w:after="0" w:line="480" w:lineRule="auto"/>
        <w:jc w:val="both"/>
        <w:sectPr>
          <w:pgSz w:w="11910" w:h="16840"/>
          <w:pgMar w:header="0" w:footer="693" w:top="1340" w:bottom="880" w:left="1559" w:right="425"/>
        </w:sectPr>
      </w:pPr>
    </w:p>
    <w:p>
      <w:pPr>
        <w:pStyle w:val="Heading2"/>
        <w:spacing w:before="66"/>
        <w:ind w:right="846"/>
      </w:pPr>
      <w:bookmarkStart w:name="_bookmark2" w:id="3"/>
      <w:bookmarkEnd w:id="3"/>
      <w:r>
        <w:rPr>
          <w:b w:val="0"/>
        </w:rPr>
      </w:r>
      <w:r>
        <w:rPr/>
        <w:t>ÍNDICE</w:t>
      </w:r>
      <w:r>
        <w:rPr>
          <w:spacing w:val="1"/>
        </w:rPr>
        <w:t> </w:t>
      </w:r>
      <w:r>
        <w:rPr>
          <w:spacing w:val="-2"/>
        </w:rPr>
        <w:t>GENERAL</w:t>
      </w:r>
    </w:p>
    <w:p>
      <w:pPr>
        <w:pStyle w:val="Heading2"/>
        <w:spacing w:after="0"/>
        <w:sectPr>
          <w:pgSz w:w="11910" w:h="16840"/>
          <w:pgMar w:header="0" w:footer="693" w:top="1340" w:bottom="0" w:left="1559" w:right="425"/>
        </w:sectPr>
      </w:pPr>
    </w:p>
    <w:sdt>
      <w:sdtPr>
        <w:docPartObj>
          <w:docPartGallery w:val="Table of Contents"/>
          <w:docPartUnique/>
        </w:docPartObj>
      </w:sdtPr>
      <w:sdtEndPr/>
      <w:sdtContent>
        <w:p>
          <w:pPr>
            <w:pStyle w:val="TOC4"/>
            <w:tabs>
              <w:tab w:pos="8930" w:val="right" w:leader="dot"/>
            </w:tabs>
            <w:spacing w:before="396"/>
          </w:pPr>
          <w:hyperlink w:history="true" w:anchor="_bookmark0">
            <w:r>
              <w:rPr>
                <w:spacing w:val="-2"/>
              </w:rPr>
              <w:t>DEDICATORIA</w:t>
            </w:r>
            <w:r>
              <w:rPr/>
              <w:tab/>
            </w:r>
            <w:r>
              <w:rPr>
                <w:spacing w:val="-5"/>
              </w:rPr>
              <w:t>iii</w:t>
            </w:r>
          </w:hyperlink>
        </w:p>
        <w:p>
          <w:pPr>
            <w:pStyle w:val="TOC4"/>
            <w:tabs>
              <w:tab w:pos="8931" w:val="right" w:leader="dot"/>
            </w:tabs>
          </w:pPr>
          <w:hyperlink w:history="true" w:anchor="_bookmark1">
            <w:r>
              <w:rPr>
                <w:spacing w:val="-2"/>
              </w:rPr>
              <w:t>AGRADECIMIENTO</w:t>
            </w:r>
            <w:r>
              <w:rPr/>
              <w:tab/>
            </w:r>
            <w:r>
              <w:rPr>
                <w:spacing w:val="-5"/>
              </w:rPr>
              <w:t>iv</w:t>
            </w:r>
          </w:hyperlink>
        </w:p>
        <w:p>
          <w:pPr>
            <w:pStyle w:val="TOC4"/>
            <w:tabs>
              <w:tab w:pos="8932" w:val="right" w:leader="dot"/>
            </w:tabs>
            <w:spacing w:before="277"/>
          </w:pPr>
          <w:hyperlink w:history="true" w:anchor="_bookmark2">
            <w:r>
              <w:rPr/>
              <w:t>ÍNDICE</w:t>
            </w:r>
            <w:r>
              <w:rPr>
                <w:spacing w:val="1"/>
              </w:rPr>
              <w:t> </w:t>
            </w:r>
            <w:r>
              <w:rPr>
                <w:spacing w:val="-2"/>
              </w:rPr>
              <w:t>GENERAL</w:t>
            </w:r>
            <w:r>
              <w:rPr/>
              <w:tab/>
            </w:r>
            <w:r>
              <w:rPr>
                <w:spacing w:val="-10"/>
              </w:rPr>
              <w:t>v</w:t>
            </w:r>
          </w:hyperlink>
        </w:p>
        <w:p>
          <w:pPr>
            <w:pStyle w:val="TOC4"/>
            <w:tabs>
              <w:tab w:pos="8931" w:val="right" w:leader="dot"/>
            </w:tabs>
          </w:pPr>
          <w:hyperlink w:history="true" w:anchor="_bookmark3">
            <w:r>
              <w:rPr/>
              <w:t>ÍNDICE DE</w:t>
            </w:r>
            <w:r>
              <w:rPr>
                <w:spacing w:val="1"/>
              </w:rPr>
              <w:t> </w:t>
            </w:r>
            <w:r>
              <w:rPr>
                <w:spacing w:val="-2"/>
              </w:rPr>
              <w:t>TABLAS</w:t>
            </w:r>
            <w:r>
              <w:rPr/>
              <w:tab/>
            </w:r>
            <w:r>
              <w:rPr>
                <w:spacing w:val="-5"/>
              </w:rPr>
              <w:t>ix</w:t>
            </w:r>
          </w:hyperlink>
        </w:p>
        <w:p>
          <w:pPr>
            <w:pStyle w:val="TOC4"/>
            <w:tabs>
              <w:tab w:pos="8932" w:val="right" w:leader="dot"/>
            </w:tabs>
          </w:pPr>
          <w:hyperlink w:history="true" w:anchor="_bookmark4">
            <w:r>
              <w:rPr>
                <w:spacing w:val="-2"/>
              </w:rPr>
              <w:t>RESUMEN</w:t>
            </w:r>
            <w:r>
              <w:rPr/>
              <w:tab/>
            </w:r>
            <w:r>
              <w:rPr>
                <w:spacing w:val="-10"/>
              </w:rPr>
              <w:t>x</w:t>
            </w:r>
          </w:hyperlink>
        </w:p>
        <w:p>
          <w:pPr>
            <w:pStyle w:val="TOC4"/>
            <w:tabs>
              <w:tab w:pos="8933" w:val="right" w:leader="dot"/>
            </w:tabs>
          </w:pPr>
          <w:hyperlink w:history="true" w:anchor="_bookmark5">
            <w:r>
              <w:rPr>
                <w:spacing w:val="-2"/>
              </w:rPr>
              <w:t>ABSTRACT</w:t>
            </w:r>
            <w:r>
              <w:rPr/>
              <w:tab/>
            </w:r>
            <w:r>
              <w:rPr>
                <w:spacing w:val="-5"/>
              </w:rPr>
              <w:t>xi</w:t>
            </w:r>
          </w:hyperlink>
        </w:p>
        <w:p>
          <w:pPr>
            <w:pStyle w:val="TOC4"/>
            <w:tabs>
              <w:tab w:pos="8931" w:val="right" w:leader="dot"/>
            </w:tabs>
          </w:pPr>
          <w:hyperlink w:history="true" w:anchor="_bookmark6">
            <w:r>
              <w:rPr>
                <w:spacing w:val="-2"/>
              </w:rPr>
              <w:t>INTRODUCCIÓN</w:t>
            </w:r>
            <w:r>
              <w:rPr/>
              <w:tab/>
            </w:r>
            <w:r>
              <w:rPr>
                <w:spacing w:val="-5"/>
              </w:rPr>
              <w:t>xii</w:t>
            </w:r>
          </w:hyperlink>
        </w:p>
        <w:p>
          <w:pPr>
            <w:pStyle w:val="TOC8"/>
            <w:spacing w:line="480" w:lineRule="auto"/>
          </w:pPr>
          <w:hyperlink w:history="true" w:anchor="_bookmark7">
            <w:r>
              <w:rPr/>
              <w:t>CAPÍTULO I</w:t>
            </w:r>
          </w:hyperlink>
          <w:r>
            <w:rPr>
              <w:spacing w:val="40"/>
            </w:rPr>
            <w:t> </w:t>
          </w:r>
          <w:hyperlink w:history="true" w:anchor="_bookmark8">
            <w:r>
              <w:rPr/>
              <w:t>EL</w:t>
            </w:r>
            <w:r>
              <w:rPr>
                <w:spacing w:val="-15"/>
              </w:rPr>
              <w:t> </w:t>
            </w:r>
            <w:r>
              <w:rPr/>
              <w:t>PROBLEMA</w:t>
            </w:r>
          </w:hyperlink>
        </w:p>
        <w:p>
          <w:pPr>
            <w:pStyle w:val="TOC5"/>
            <w:numPr>
              <w:ilvl w:val="1"/>
              <w:numId w:val="1"/>
            </w:numPr>
            <w:tabs>
              <w:tab w:pos="1523" w:val="left" w:leader="none"/>
              <w:tab w:pos="8932" w:val="right" w:leader="dot"/>
            </w:tabs>
            <w:spacing w:line="240" w:lineRule="auto" w:before="0" w:after="0"/>
            <w:ind w:left="1523" w:right="0" w:hanging="420"/>
            <w:jc w:val="left"/>
          </w:pPr>
          <w:hyperlink w:history="true" w:anchor="_bookmark9">
            <w:r>
              <w:rPr/>
              <w:t>Planteamiento</w:t>
            </w:r>
            <w:r>
              <w:rPr>
                <w:spacing w:val="-3"/>
              </w:rPr>
              <w:t> </w:t>
            </w:r>
            <w:r>
              <w:rPr/>
              <w:t>del</w:t>
            </w:r>
            <w:r>
              <w:rPr>
                <w:spacing w:val="-4"/>
              </w:rPr>
              <w:t> </w:t>
            </w:r>
            <w:r>
              <w:rPr>
                <w:spacing w:val="-2"/>
              </w:rPr>
              <w:t>problema</w:t>
            </w:r>
            <w:r>
              <w:rPr/>
              <w:tab/>
            </w:r>
            <w:r>
              <w:rPr>
                <w:spacing w:val="-10"/>
              </w:rPr>
              <w:t>1</w:t>
            </w:r>
          </w:hyperlink>
        </w:p>
        <w:p>
          <w:pPr>
            <w:pStyle w:val="TOC5"/>
            <w:numPr>
              <w:ilvl w:val="1"/>
              <w:numId w:val="1"/>
            </w:numPr>
            <w:tabs>
              <w:tab w:pos="1523" w:val="left" w:leader="none"/>
              <w:tab w:pos="8932" w:val="right" w:leader="dot"/>
            </w:tabs>
            <w:spacing w:line="240" w:lineRule="auto" w:before="376" w:after="0"/>
            <w:ind w:left="1523" w:right="0" w:hanging="420"/>
            <w:jc w:val="left"/>
          </w:pPr>
          <w:hyperlink w:history="true" w:anchor="_bookmark10">
            <w:r>
              <w:rPr/>
              <w:t>Delimitación</w:t>
            </w:r>
            <w:r>
              <w:rPr>
                <w:spacing w:val="-3"/>
              </w:rPr>
              <w:t> </w:t>
            </w:r>
            <w:r>
              <w:rPr/>
              <w:t>de</w:t>
            </w:r>
            <w:r>
              <w:rPr>
                <w:spacing w:val="-1"/>
              </w:rPr>
              <w:t> </w:t>
            </w:r>
            <w:r>
              <w:rPr/>
              <w:t>la</w:t>
            </w:r>
            <w:r>
              <w:rPr>
                <w:spacing w:val="-3"/>
              </w:rPr>
              <w:t> </w:t>
            </w:r>
            <w:r>
              <w:rPr>
                <w:spacing w:val="-2"/>
              </w:rPr>
              <w:t>investigación</w:t>
            </w:r>
            <w:r>
              <w:rPr/>
              <w:tab/>
            </w:r>
            <w:r>
              <w:rPr>
                <w:spacing w:val="-10"/>
              </w:rPr>
              <w:t>3</w:t>
            </w:r>
          </w:hyperlink>
        </w:p>
        <w:p>
          <w:pPr>
            <w:pStyle w:val="TOC6"/>
            <w:numPr>
              <w:ilvl w:val="2"/>
              <w:numId w:val="1"/>
            </w:numPr>
            <w:tabs>
              <w:tab w:pos="1943" w:val="left" w:leader="none"/>
              <w:tab w:pos="8932" w:val="right" w:leader="dot"/>
            </w:tabs>
            <w:spacing w:line="240" w:lineRule="auto" w:before="376" w:after="0"/>
            <w:ind w:left="1943" w:right="0" w:hanging="600"/>
            <w:jc w:val="left"/>
          </w:pPr>
          <w:hyperlink w:history="true" w:anchor="_bookmark11">
            <w:r>
              <w:rPr/>
              <w:t>Delimitación</w:t>
            </w:r>
            <w:r>
              <w:rPr>
                <w:spacing w:val="-8"/>
              </w:rPr>
              <w:t> </w:t>
            </w:r>
            <w:r>
              <w:rPr>
                <w:spacing w:val="-2"/>
              </w:rPr>
              <w:t>espacial</w:t>
            </w:r>
            <w:r>
              <w:rPr/>
              <w:tab/>
            </w:r>
            <w:r>
              <w:rPr>
                <w:spacing w:val="-10"/>
              </w:rPr>
              <w:t>3</w:t>
            </w:r>
          </w:hyperlink>
        </w:p>
        <w:p>
          <w:pPr>
            <w:pStyle w:val="TOC6"/>
            <w:numPr>
              <w:ilvl w:val="2"/>
              <w:numId w:val="1"/>
            </w:numPr>
            <w:tabs>
              <w:tab w:pos="1943" w:val="left" w:leader="none"/>
              <w:tab w:pos="8932" w:val="right" w:leader="dot"/>
            </w:tabs>
            <w:spacing w:line="240" w:lineRule="auto" w:before="376" w:after="0"/>
            <w:ind w:left="1943" w:right="0" w:hanging="600"/>
            <w:jc w:val="left"/>
          </w:pPr>
          <w:hyperlink w:history="true" w:anchor="_bookmark12">
            <w:r>
              <w:rPr/>
              <w:t>Delimitación</w:t>
            </w:r>
            <w:r>
              <w:rPr>
                <w:spacing w:val="-9"/>
              </w:rPr>
              <w:t> </w:t>
            </w:r>
            <w:r>
              <w:rPr>
                <w:spacing w:val="-2"/>
              </w:rPr>
              <w:t>social</w:t>
            </w:r>
            <w:r>
              <w:rPr/>
              <w:tab/>
            </w:r>
            <w:r>
              <w:rPr>
                <w:spacing w:val="-10"/>
              </w:rPr>
              <w:t>3</w:t>
            </w:r>
          </w:hyperlink>
        </w:p>
        <w:p>
          <w:pPr>
            <w:pStyle w:val="TOC6"/>
            <w:numPr>
              <w:ilvl w:val="2"/>
              <w:numId w:val="1"/>
            </w:numPr>
            <w:tabs>
              <w:tab w:pos="1943" w:val="left" w:leader="none"/>
              <w:tab w:pos="8932" w:val="right" w:leader="dot"/>
            </w:tabs>
            <w:spacing w:line="240" w:lineRule="auto" w:before="376" w:after="0"/>
            <w:ind w:left="1943" w:right="0" w:hanging="600"/>
            <w:jc w:val="left"/>
          </w:pPr>
          <w:hyperlink w:history="true" w:anchor="_bookmark13">
            <w:r>
              <w:rPr/>
              <w:t>Delimitación</w:t>
            </w:r>
            <w:r>
              <w:rPr>
                <w:spacing w:val="-8"/>
              </w:rPr>
              <w:t> </w:t>
            </w:r>
            <w:r>
              <w:rPr>
                <w:spacing w:val="-2"/>
              </w:rPr>
              <w:t>temporal</w:t>
            </w:r>
            <w:r>
              <w:rPr/>
              <w:tab/>
            </w:r>
            <w:r>
              <w:rPr>
                <w:spacing w:val="-10"/>
              </w:rPr>
              <w:t>3</w:t>
            </w:r>
          </w:hyperlink>
        </w:p>
        <w:p>
          <w:pPr>
            <w:pStyle w:val="TOC5"/>
            <w:numPr>
              <w:ilvl w:val="1"/>
              <w:numId w:val="1"/>
            </w:numPr>
            <w:tabs>
              <w:tab w:pos="1523" w:val="left" w:leader="none"/>
              <w:tab w:pos="8932" w:val="right" w:leader="dot"/>
            </w:tabs>
            <w:spacing w:line="240" w:lineRule="auto" w:before="376" w:after="0"/>
            <w:ind w:left="1523" w:right="0" w:hanging="420"/>
            <w:jc w:val="left"/>
          </w:pPr>
          <w:hyperlink w:history="true" w:anchor="_bookmark14">
            <w:r>
              <w:rPr/>
              <w:t>Formulación</w:t>
            </w:r>
            <w:r>
              <w:rPr>
                <w:spacing w:val="-2"/>
              </w:rPr>
              <w:t> </w:t>
            </w:r>
            <w:r>
              <w:rPr/>
              <w:t>del</w:t>
            </w:r>
            <w:r>
              <w:rPr>
                <w:spacing w:val="-1"/>
              </w:rPr>
              <w:t> </w:t>
            </w:r>
            <w:r>
              <w:rPr>
                <w:spacing w:val="-2"/>
              </w:rPr>
              <w:t>problema</w:t>
            </w:r>
            <w:r>
              <w:rPr/>
              <w:tab/>
            </w:r>
            <w:r>
              <w:rPr>
                <w:spacing w:val="-10"/>
              </w:rPr>
              <w:t>3</w:t>
            </w:r>
          </w:hyperlink>
        </w:p>
        <w:p>
          <w:pPr>
            <w:pStyle w:val="TOC6"/>
            <w:numPr>
              <w:ilvl w:val="2"/>
              <w:numId w:val="1"/>
            </w:numPr>
            <w:tabs>
              <w:tab w:pos="1943" w:val="left" w:leader="none"/>
              <w:tab w:pos="8932" w:val="right" w:leader="dot"/>
            </w:tabs>
            <w:spacing w:line="240" w:lineRule="auto" w:before="376" w:after="0"/>
            <w:ind w:left="1943" w:right="0" w:hanging="600"/>
            <w:jc w:val="left"/>
          </w:pPr>
          <w:hyperlink w:history="true" w:anchor="_bookmark15">
            <w:r>
              <w:rPr/>
              <w:t>Problema</w:t>
            </w:r>
            <w:r>
              <w:rPr>
                <w:spacing w:val="-2"/>
              </w:rPr>
              <w:t> general</w:t>
            </w:r>
            <w:r>
              <w:rPr/>
              <w:tab/>
            </w:r>
            <w:r>
              <w:rPr>
                <w:spacing w:val="-10"/>
              </w:rPr>
              <w:t>3</w:t>
            </w:r>
          </w:hyperlink>
        </w:p>
        <w:p>
          <w:pPr>
            <w:pStyle w:val="TOC6"/>
            <w:numPr>
              <w:ilvl w:val="2"/>
              <w:numId w:val="1"/>
            </w:numPr>
            <w:tabs>
              <w:tab w:pos="1943" w:val="left" w:leader="none"/>
              <w:tab w:pos="8932" w:val="right" w:leader="dot"/>
            </w:tabs>
            <w:spacing w:line="240" w:lineRule="auto" w:before="377" w:after="0"/>
            <w:ind w:left="1943" w:right="0" w:hanging="600"/>
            <w:jc w:val="left"/>
          </w:pPr>
          <w:hyperlink w:history="true" w:anchor="_bookmark16">
            <w:r>
              <w:rPr/>
              <w:t>Problemas</w:t>
            </w:r>
            <w:r>
              <w:rPr>
                <w:spacing w:val="-2"/>
              </w:rPr>
              <w:t> específicos</w:t>
            </w:r>
            <w:r>
              <w:rPr/>
              <w:tab/>
            </w:r>
            <w:r>
              <w:rPr>
                <w:spacing w:val="-10"/>
              </w:rPr>
              <w:t>4</w:t>
            </w:r>
          </w:hyperlink>
        </w:p>
        <w:p>
          <w:pPr>
            <w:pStyle w:val="TOC5"/>
            <w:numPr>
              <w:ilvl w:val="1"/>
              <w:numId w:val="1"/>
            </w:numPr>
            <w:tabs>
              <w:tab w:pos="1523" w:val="left" w:leader="none"/>
              <w:tab w:pos="8932" w:val="right" w:leader="dot"/>
            </w:tabs>
            <w:spacing w:line="240" w:lineRule="auto" w:before="376" w:after="0"/>
            <w:ind w:left="1523" w:right="0" w:hanging="420"/>
            <w:jc w:val="left"/>
          </w:pPr>
          <w:hyperlink w:history="true" w:anchor="_bookmark17">
            <w:r>
              <w:rPr/>
              <w:t>Justificación</w:t>
            </w:r>
            <w:r>
              <w:rPr>
                <w:spacing w:val="-3"/>
              </w:rPr>
              <w:t> </w:t>
            </w:r>
            <w:r>
              <w:rPr/>
              <w:t>del</w:t>
            </w:r>
            <w:r>
              <w:rPr>
                <w:spacing w:val="-2"/>
              </w:rPr>
              <w:t> estudio</w:t>
            </w:r>
            <w:r>
              <w:rPr/>
              <w:tab/>
            </w:r>
            <w:r>
              <w:rPr>
                <w:spacing w:val="-10"/>
              </w:rPr>
              <w:t>4</w:t>
            </w:r>
          </w:hyperlink>
        </w:p>
        <w:p>
          <w:pPr>
            <w:pStyle w:val="TOC7"/>
            <w:spacing w:line="480" w:lineRule="auto"/>
          </w:pPr>
          <w:hyperlink w:history="true" w:anchor="_bookmark18">
            <w:r>
              <w:rPr/>
              <w:t>CAPÍTULO</w:t>
            </w:r>
            <w:r>
              <w:rPr>
                <w:spacing w:val="-15"/>
              </w:rPr>
              <w:t> </w:t>
            </w:r>
            <w:r>
              <w:rPr/>
              <w:t>II</w:t>
            </w:r>
          </w:hyperlink>
          <w:r>
            <w:rPr/>
            <w:t> </w:t>
          </w:r>
          <w:hyperlink w:history="true" w:anchor="_bookmark19">
            <w:r>
              <w:rPr>
                <w:spacing w:val="-2"/>
              </w:rPr>
              <w:t>OBJETIVOS</w:t>
            </w:r>
          </w:hyperlink>
        </w:p>
        <w:p>
          <w:pPr>
            <w:pStyle w:val="TOC5"/>
            <w:numPr>
              <w:ilvl w:val="1"/>
              <w:numId w:val="2"/>
            </w:numPr>
            <w:tabs>
              <w:tab w:pos="1523" w:val="left" w:leader="none"/>
              <w:tab w:pos="8932" w:val="right" w:leader="dot"/>
            </w:tabs>
            <w:spacing w:line="240" w:lineRule="auto" w:before="0" w:after="0"/>
            <w:ind w:left="1523" w:right="0" w:hanging="420"/>
            <w:jc w:val="left"/>
          </w:pPr>
          <w:hyperlink w:history="true" w:anchor="_bookmark20">
            <w:r>
              <w:rPr/>
              <w:t>Objetivo</w:t>
            </w:r>
            <w:r>
              <w:rPr>
                <w:spacing w:val="-3"/>
              </w:rPr>
              <w:t> </w:t>
            </w:r>
            <w:r>
              <w:rPr>
                <w:spacing w:val="-2"/>
              </w:rPr>
              <w:t>general</w:t>
            </w:r>
            <w:r>
              <w:rPr/>
              <w:tab/>
            </w:r>
            <w:r>
              <w:rPr>
                <w:spacing w:val="-10"/>
              </w:rPr>
              <w:t>7</w:t>
            </w:r>
          </w:hyperlink>
        </w:p>
        <w:p>
          <w:pPr>
            <w:pStyle w:val="TOC5"/>
            <w:numPr>
              <w:ilvl w:val="1"/>
              <w:numId w:val="2"/>
            </w:numPr>
            <w:tabs>
              <w:tab w:pos="1523" w:val="left" w:leader="none"/>
              <w:tab w:pos="8932" w:val="right" w:leader="dot"/>
            </w:tabs>
            <w:spacing w:line="240" w:lineRule="auto" w:before="374" w:after="240"/>
            <w:ind w:left="1523" w:right="0" w:hanging="420"/>
            <w:jc w:val="left"/>
          </w:pPr>
          <w:hyperlink w:history="true" w:anchor="_bookmark21">
            <w:r>
              <w:rPr/>
              <w:t>Objetivos</w:t>
            </w:r>
            <w:r>
              <w:rPr>
                <w:spacing w:val="-3"/>
              </w:rPr>
              <w:t> </w:t>
            </w:r>
            <w:r>
              <w:rPr>
                <w:spacing w:val="-2"/>
              </w:rPr>
              <w:t>específicos</w:t>
            </w:r>
            <w:r>
              <w:rPr/>
              <w:tab/>
            </w:r>
            <w:r>
              <w:rPr>
                <w:spacing w:val="-10"/>
              </w:rPr>
              <w:t>7</w:t>
            </w:r>
          </w:hyperlink>
        </w:p>
        <w:p>
          <w:pPr>
            <w:pStyle w:val="TOC2"/>
            <w:ind w:right="845"/>
          </w:pPr>
          <w:hyperlink w:history="true" w:anchor="_bookmark22">
            <w:r>
              <w:rPr/>
              <w:t>CAPÍTULO</w:t>
            </w:r>
            <w:r>
              <w:rPr>
                <w:spacing w:val="1"/>
              </w:rPr>
              <w:t> </w:t>
            </w:r>
            <w:r>
              <w:rPr>
                <w:spacing w:val="-5"/>
              </w:rPr>
              <w:t>III</w:t>
            </w:r>
          </w:hyperlink>
        </w:p>
        <w:p>
          <w:pPr>
            <w:pStyle w:val="TOC2"/>
            <w:spacing w:before="276"/>
          </w:pPr>
          <w:hyperlink w:history="true" w:anchor="_bookmark23">
            <w:r>
              <w:rPr/>
              <w:t>MARCO</w:t>
            </w:r>
            <w:r>
              <w:rPr>
                <w:spacing w:val="-1"/>
              </w:rPr>
              <w:t> </w:t>
            </w:r>
            <w:r>
              <w:rPr/>
              <w:t>TEÓRICO</w:t>
            </w:r>
            <w:r>
              <w:rPr>
                <w:spacing w:val="-2"/>
              </w:rPr>
              <w:t> REFERENCIAL</w:t>
            </w:r>
          </w:hyperlink>
        </w:p>
        <w:p>
          <w:pPr>
            <w:pStyle w:val="TOC5"/>
            <w:numPr>
              <w:ilvl w:val="1"/>
              <w:numId w:val="3"/>
            </w:numPr>
            <w:tabs>
              <w:tab w:pos="1523" w:val="left" w:leader="none"/>
              <w:tab w:pos="8812" w:val="left" w:leader="dot"/>
            </w:tabs>
            <w:spacing w:line="240" w:lineRule="auto" w:before="276" w:after="0"/>
            <w:ind w:left="1523" w:right="0" w:hanging="420"/>
            <w:jc w:val="left"/>
          </w:pPr>
          <w:hyperlink w:history="true" w:anchor="_bookmark24">
            <w:r>
              <w:rPr/>
              <w:t>Antecedentes</w:t>
            </w:r>
            <w:r>
              <w:rPr>
                <w:spacing w:val="-2"/>
              </w:rPr>
              <w:t> </w:t>
            </w:r>
            <w:r>
              <w:rPr/>
              <w:t>de</w:t>
            </w:r>
            <w:r>
              <w:rPr>
                <w:spacing w:val="-1"/>
              </w:rPr>
              <w:t> </w:t>
            </w:r>
            <w:r>
              <w:rPr/>
              <w:t>la</w:t>
            </w:r>
            <w:r>
              <w:rPr>
                <w:spacing w:val="-1"/>
              </w:rPr>
              <w:t> </w:t>
            </w:r>
            <w:r>
              <w:rPr>
                <w:spacing w:val="-2"/>
              </w:rPr>
              <w:t>investigación</w:t>
            </w:r>
            <w:r>
              <w:rPr/>
              <w:tab/>
            </w:r>
            <w:r>
              <w:rPr>
                <w:spacing w:val="-10"/>
              </w:rPr>
              <w:t>8</w:t>
            </w:r>
          </w:hyperlink>
        </w:p>
        <w:p>
          <w:pPr>
            <w:pStyle w:val="TOC6"/>
            <w:numPr>
              <w:ilvl w:val="2"/>
              <w:numId w:val="3"/>
            </w:numPr>
            <w:tabs>
              <w:tab w:pos="1943" w:val="left" w:leader="none"/>
              <w:tab w:pos="8812" w:val="left" w:leader="dot"/>
            </w:tabs>
            <w:spacing w:line="240" w:lineRule="auto" w:before="377" w:after="0"/>
            <w:ind w:left="1943" w:right="0" w:hanging="600"/>
            <w:jc w:val="left"/>
          </w:pPr>
          <w:hyperlink w:history="true" w:anchor="_bookmark25">
            <w:r>
              <w:rPr/>
              <w:t>A nivel</w:t>
            </w:r>
            <w:r>
              <w:rPr>
                <w:spacing w:val="-2"/>
              </w:rPr>
              <w:t> internacional</w:t>
            </w:r>
            <w:r>
              <w:rPr/>
              <w:tab/>
            </w:r>
            <w:r>
              <w:rPr>
                <w:spacing w:val="-10"/>
              </w:rPr>
              <w:t>8</w:t>
            </w:r>
          </w:hyperlink>
        </w:p>
        <w:p>
          <w:pPr>
            <w:pStyle w:val="TOC6"/>
            <w:numPr>
              <w:ilvl w:val="2"/>
              <w:numId w:val="3"/>
            </w:numPr>
            <w:tabs>
              <w:tab w:pos="1943" w:val="left" w:leader="none"/>
              <w:tab w:pos="8692" w:val="left" w:leader="dot"/>
            </w:tabs>
            <w:spacing w:line="240" w:lineRule="auto" w:before="376" w:after="0"/>
            <w:ind w:left="1943" w:right="0" w:hanging="600"/>
            <w:jc w:val="left"/>
          </w:pPr>
          <w:hyperlink w:history="true" w:anchor="_bookmark26">
            <w:r>
              <w:rPr/>
              <w:t>A nivel</w:t>
            </w:r>
            <w:r>
              <w:rPr>
                <w:spacing w:val="-2"/>
              </w:rPr>
              <w:t> nacional</w:t>
            </w:r>
            <w:r>
              <w:rPr/>
              <w:tab/>
            </w:r>
            <w:r>
              <w:rPr>
                <w:spacing w:val="-5"/>
              </w:rPr>
              <w:t>11</w:t>
            </w:r>
          </w:hyperlink>
        </w:p>
        <w:p>
          <w:pPr>
            <w:pStyle w:val="TOC6"/>
            <w:numPr>
              <w:ilvl w:val="2"/>
              <w:numId w:val="3"/>
            </w:numPr>
            <w:tabs>
              <w:tab w:pos="1943" w:val="left" w:leader="none"/>
              <w:tab w:pos="8692" w:val="left" w:leader="dot"/>
            </w:tabs>
            <w:spacing w:line="240" w:lineRule="auto" w:before="376" w:after="0"/>
            <w:ind w:left="1943" w:right="0" w:hanging="600"/>
            <w:jc w:val="left"/>
          </w:pPr>
          <w:hyperlink w:history="true" w:anchor="_bookmark27">
            <w:r>
              <w:rPr/>
              <w:t>A nivel</w:t>
            </w:r>
            <w:r>
              <w:rPr>
                <w:spacing w:val="-2"/>
              </w:rPr>
              <w:t> local</w:t>
            </w:r>
            <w:r>
              <w:rPr/>
              <w:tab/>
            </w:r>
            <w:r>
              <w:rPr>
                <w:spacing w:val="-5"/>
              </w:rPr>
              <w:t>14</w:t>
            </w:r>
          </w:hyperlink>
        </w:p>
        <w:p>
          <w:pPr>
            <w:pStyle w:val="TOC5"/>
            <w:numPr>
              <w:ilvl w:val="1"/>
              <w:numId w:val="3"/>
            </w:numPr>
            <w:tabs>
              <w:tab w:pos="1523" w:val="left" w:leader="none"/>
              <w:tab w:pos="8692" w:val="left" w:leader="dot"/>
            </w:tabs>
            <w:spacing w:line="240" w:lineRule="auto" w:before="376" w:after="0"/>
            <w:ind w:left="1523" w:right="0" w:hanging="420"/>
            <w:jc w:val="left"/>
          </w:pPr>
          <w:hyperlink w:history="true" w:anchor="_bookmark28">
            <w:r>
              <w:rPr/>
              <w:t>Bases </w:t>
            </w:r>
            <w:r>
              <w:rPr>
                <w:spacing w:val="-2"/>
              </w:rPr>
              <w:t>teóricas</w:t>
            </w:r>
            <w:r>
              <w:rPr/>
              <w:tab/>
            </w:r>
            <w:r>
              <w:rPr>
                <w:spacing w:val="-5"/>
              </w:rPr>
              <w:t>18</w:t>
            </w:r>
          </w:hyperlink>
        </w:p>
        <w:p>
          <w:pPr>
            <w:pStyle w:val="TOC6"/>
            <w:numPr>
              <w:ilvl w:val="2"/>
              <w:numId w:val="3"/>
            </w:numPr>
            <w:tabs>
              <w:tab w:pos="1943" w:val="left" w:leader="none"/>
              <w:tab w:pos="8692" w:val="left" w:leader="dot"/>
            </w:tabs>
            <w:spacing w:line="240" w:lineRule="auto" w:before="376" w:after="0"/>
            <w:ind w:left="1943" w:right="0" w:hanging="600"/>
            <w:jc w:val="left"/>
          </w:pPr>
          <w:hyperlink w:history="true" w:anchor="_bookmark29">
            <w:r>
              <w:rPr/>
              <w:t>Impuesto</w:t>
            </w:r>
            <w:r>
              <w:rPr>
                <w:spacing w:val="-1"/>
              </w:rPr>
              <w:t> </w:t>
            </w:r>
            <w:r>
              <w:rPr/>
              <w:t>general</w:t>
            </w:r>
            <w:r>
              <w:rPr>
                <w:spacing w:val="-3"/>
              </w:rPr>
              <w:t> </w:t>
            </w:r>
            <w:r>
              <w:rPr/>
              <w:t>de</w:t>
            </w:r>
            <w:r>
              <w:rPr>
                <w:spacing w:val="-1"/>
              </w:rPr>
              <w:t> </w:t>
            </w:r>
            <w:r>
              <w:rPr/>
              <w:t>las</w:t>
            </w:r>
            <w:r>
              <w:rPr>
                <w:spacing w:val="-1"/>
              </w:rPr>
              <w:t> </w:t>
            </w:r>
            <w:r>
              <w:rPr>
                <w:spacing w:val="-2"/>
              </w:rPr>
              <w:t>ventas</w:t>
            </w:r>
            <w:r>
              <w:rPr/>
              <w:tab/>
            </w:r>
            <w:r>
              <w:rPr>
                <w:spacing w:val="-5"/>
              </w:rPr>
              <w:t>18</w:t>
            </w:r>
          </w:hyperlink>
        </w:p>
        <w:p>
          <w:pPr>
            <w:pStyle w:val="TOC6"/>
            <w:numPr>
              <w:ilvl w:val="2"/>
              <w:numId w:val="3"/>
            </w:numPr>
            <w:tabs>
              <w:tab w:pos="1943" w:val="left" w:leader="none"/>
              <w:tab w:pos="8692" w:val="left" w:leader="dot"/>
            </w:tabs>
            <w:spacing w:line="240" w:lineRule="auto" w:before="376" w:after="0"/>
            <w:ind w:left="1943" w:right="0" w:hanging="600"/>
            <w:jc w:val="left"/>
          </w:pPr>
          <w:hyperlink w:history="true" w:anchor="_bookmark30">
            <w:r>
              <w:rPr/>
              <w:t>Percepción</w:t>
            </w:r>
            <w:r>
              <w:rPr>
                <w:spacing w:val="-3"/>
              </w:rPr>
              <w:t> </w:t>
            </w:r>
            <w:r>
              <w:rPr>
                <w:spacing w:val="-2"/>
              </w:rPr>
              <w:t>económica</w:t>
            </w:r>
            <w:r>
              <w:rPr/>
              <w:tab/>
            </w:r>
            <w:r>
              <w:rPr>
                <w:spacing w:val="-5"/>
              </w:rPr>
              <w:t>30</w:t>
            </w:r>
          </w:hyperlink>
        </w:p>
        <w:p>
          <w:pPr>
            <w:pStyle w:val="TOC5"/>
            <w:numPr>
              <w:ilvl w:val="1"/>
              <w:numId w:val="3"/>
            </w:numPr>
            <w:tabs>
              <w:tab w:pos="1523" w:val="left" w:leader="none"/>
              <w:tab w:pos="8692" w:val="left" w:leader="dot"/>
            </w:tabs>
            <w:spacing w:line="240" w:lineRule="auto" w:before="376" w:after="0"/>
            <w:ind w:left="1523" w:right="0" w:hanging="420"/>
            <w:jc w:val="left"/>
          </w:pPr>
          <w:hyperlink w:history="true" w:anchor="_bookmark31">
            <w:r>
              <w:rPr/>
              <w:t>Marco </w:t>
            </w:r>
            <w:r>
              <w:rPr>
                <w:spacing w:val="-2"/>
              </w:rPr>
              <w:t>conceptual</w:t>
            </w:r>
            <w:r>
              <w:rPr/>
              <w:tab/>
            </w:r>
            <w:r>
              <w:rPr>
                <w:spacing w:val="-5"/>
              </w:rPr>
              <w:t>34</w:t>
            </w:r>
          </w:hyperlink>
        </w:p>
        <w:p>
          <w:pPr>
            <w:pStyle w:val="TOC7"/>
            <w:spacing w:line="480" w:lineRule="auto"/>
          </w:pPr>
          <w:hyperlink w:history="true" w:anchor="_bookmark32">
            <w:r>
              <w:rPr/>
              <w:t>CAPÍTULO</w:t>
            </w:r>
            <w:r>
              <w:rPr>
                <w:spacing w:val="-15"/>
              </w:rPr>
              <w:t> </w:t>
            </w:r>
            <w:r>
              <w:rPr/>
              <w:t>IV</w:t>
            </w:r>
          </w:hyperlink>
          <w:r>
            <w:rPr/>
            <w:t> </w:t>
          </w:r>
          <w:hyperlink w:history="true" w:anchor="_bookmark33">
            <w:r>
              <w:rPr>
                <w:spacing w:val="-2"/>
              </w:rPr>
              <w:t>HIPÓTESIS</w:t>
            </w:r>
          </w:hyperlink>
        </w:p>
        <w:p>
          <w:pPr>
            <w:pStyle w:val="TOC5"/>
            <w:numPr>
              <w:ilvl w:val="1"/>
              <w:numId w:val="4"/>
            </w:numPr>
            <w:tabs>
              <w:tab w:pos="1523" w:val="left" w:leader="none"/>
              <w:tab w:pos="8692" w:val="left" w:leader="dot"/>
            </w:tabs>
            <w:spacing w:line="240" w:lineRule="auto" w:before="0" w:after="0"/>
            <w:ind w:left="1523" w:right="0" w:hanging="420"/>
            <w:jc w:val="left"/>
          </w:pPr>
          <w:hyperlink w:history="true" w:anchor="_bookmark34">
            <w:r>
              <w:rPr/>
              <w:t>Hipótesis</w:t>
            </w:r>
            <w:r>
              <w:rPr>
                <w:spacing w:val="-2"/>
              </w:rPr>
              <w:t> general</w:t>
            </w:r>
            <w:r>
              <w:rPr/>
              <w:tab/>
            </w:r>
            <w:r>
              <w:rPr>
                <w:spacing w:val="-5"/>
              </w:rPr>
              <w:t>36</w:t>
            </w:r>
          </w:hyperlink>
        </w:p>
        <w:p>
          <w:pPr>
            <w:pStyle w:val="TOC5"/>
            <w:numPr>
              <w:ilvl w:val="1"/>
              <w:numId w:val="4"/>
            </w:numPr>
            <w:tabs>
              <w:tab w:pos="1523" w:val="left" w:leader="none"/>
              <w:tab w:pos="8692" w:val="left" w:leader="dot"/>
            </w:tabs>
            <w:spacing w:line="240" w:lineRule="auto" w:before="376" w:after="0"/>
            <w:ind w:left="1523" w:right="0" w:hanging="420"/>
            <w:jc w:val="left"/>
          </w:pPr>
          <w:hyperlink w:history="true" w:anchor="_bookmark35">
            <w:r>
              <w:rPr/>
              <w:t>Hipótesis</w:t>
            </w:r>
            <w:r>
              <w:rPr>
                <w:spacing w:val="-2"/>
              </w:rPr>
              <w:t> especificas</w:t>
            </w:r>
            <w:r>
              <w:rPr/>
              <w:tab/>
            </w:r>
            <w:r>
              <w:rPr>
                <w:spacing w:val="-5"/>
              </w:rPr>
              <w:t>36</w:t>
            </w:r>
          </w:hyperlink>
        </w:p>
        <w:p>
          <w:pPr>
            <w:pStyle w:val="TOC5"/>
            <w:numPr>
              <w:ilvl w:val="1"/>
              <w:numId w:val="4"/>
            </w:numPr>
            <w:tabs>
              <w:tab w:pos="1523" w:val="left" w:leader="none"/>
              <w:tab w:pos="8692" w:val="left" w:leader="dot"/>
            </w:tabs>
            <w:spacing w:line="240" w:lineRule="auto" w:before="376" w:after="0"/>
            <w:ind w:left="1523" w:right="0" w:hanging="420"/>
            <w:jc w:val="left"/>
          </w:pPr>
          <w:hyperlink w:history="true" w:anchor="_bookmark36">
            <w:r>
              <w:rPr>
                <w:spacing w:val="-2"/>
              </w:rPr>
              <w:t>Variables</w:t>
            </w:r>
            <w:r>
              <w:rPr/>
              <w:tab/>
            </w:r>
            <w:r>
              <w:rPr>
                <w:spacing w:val="-5"/>
              </w:rPr>
              <w:t>36</w:t>
            </w:r>
          </w:hyperlink>
        </w:p>
        <w:p>
          <w:pPr>
            <w:pStyle w:val="TOC5"/>
            <w:numPr>
              <w:ilvl w:val="1"/>
              <w:numId w:val="4"/>
            </w:numPr>
            <w:tabs>
              <w:tab w:pos="1523" w:val="left" w:leader="none"/>
              <w:tab w:pos="8692" w:val="left" w:leader="dot"/>
            </w:tabs>
            <w:spacing w:line="240" w:lineRule="auto" w:before="376" w:after="0"/>
            <w:ind w:left="1523" w:right="0" w:hanging="420"/>
            <w:jc w:val="left"/>
          </w:pPr>
          <w:hyperlink w:history="true" w:anchor="_bookmark37">
            <w:r>
              <w:rPr/>
              <w:t>Operacionalización</w:t>
            </w:r>
            <w:r>
              <w:rPr>
                <w:spacing w:val="-2"/>
              </w:rPr>
              <w:t> </w:t>
            </w:r>
            <w:r>
              <w:rPr/>
              <w:t>de</w:t>
            </w:r>
            <w:r>
              <w:rPr>
                <w:spacing w:val="-2"/>
              </w:rPr>
              <w:t> variables</w:t>
            </w:r>
            <w:r>
              <w:rPr/>
              <w:tab/>
            </w:r>
            <w:r>
              <w:rPr>
                <w:spacing w:val="-5"/>
              </w:rPr>
              <w:t>37</w:t>
            </w:r>
          </w:hyperlink>
        </w:p>
        <w:p>
          <w:pPr>
            <w:pStyle w:val="TOC1"/>
          </w:pPr>
          <w:hyperlink w:history="true" w:anchor="_bookmark40">
            <w:r>
              <w:rPr/>
              <w:t>CAPÍTULO</w:t>
            </w:r>
            <w:r>
              <w:rPr>
                <w:spacing w:val="1"/>
              </w:rPr>
              <w:t> </w:t>
            </w:r>
            <w:r>
              <w:rPr>
                <w:spacing w:val="-10"/>
              </w:rPr>
              <w:t>V</w:t>
            </w:r>
          </w:hyperlink>
        </w:p>
        <w:p>
          <w:pPr>
            <w:pStyle w:val="TOC2"/>
            <w:spacing w:before="277"/>
          </w:pPr>
          <w:hyperlink w:history="true" w:anchor="_bookmark41">
            <w:r>
              <w:rPr/>
              <w:t>PROCEDIMIENTO</w:t>
            </w:r>
            <w:r>
              <w:rPr>
                <w:spacing w:val="-2"/>
              </w:rPr>
              <w:t> </w:t>
            </w:r>
            <w:r>
              <w:rPr/>
              <w:t>METODOLÓGICO</w:t>
            </w:r>
            <w:r>
              <w:rPr>
                <w:spacing w:val="-2"/>
              </w:rPr>
              <w:t> </w:t>
            </w:r>
            <w:r>
              <w:rPr/>
              <w:t>DE</w:t>
            </w:r>
            <w:r>
              <w:rPr>
                <w:spacing w:val="-1"/>
              </w:rPr>
              <w:t> </w:t>
            </w:r>
            <w:r>
              <w:rPr/>
              <w:t>LA </w:t>
            </w:r>
            <w:r>
              <w:rPr>
                <w:spacing w:val="-2"/>
              </w:rPr>
              <w:t>INVESTIGACIÓN</w:t>
            </w:r>
          </w:hyperlink>
        </w:p>
        <w:p>
          <w:pPr>
            <w:pStyle w:val="TOC5"/>
            <w:numPr>
              <w:ilvl w:val="1"/>
              <w:numId w:val="5"/>
            </w:numPr>
            <w:tabs>
              <w:tab w:pos="1523" w:val="left" w:leader="none"/>
              <w:tab w:pos="8692" w:val="left" w:leader="dot"/>
            </w:tabs>
            <w:spacing w:line="240" w:lineRule="auto" w:before="276" w:after="0"/>
            <w:ind w:left="1523" w:right="0" w:hanging="420"/>
            <w:jc w:val="left"/>
          </w:pPr>
          <w:hyperlink w:history="true" w:anchor="_bookmark42">
            <w:r>
              <w:rPr/>
              <w:t>Enfoque</w:t>
            </w:r>
            <w:r>
              <w:rPr>
                <w:spacing w:val="-3"/>
              </w:rPr>
              <w:t> </w:t>
            </w:r>
            <w:r>
              <w:rPr/>
              <w:t>de</w:t>
            </w:r>
            <w:r>
              <w:rPr>
                <w:spacing w:val="-1"/>
              </w:rPr>
              <w:t> </w:t>
            </w:r>
            <w:r>
              <w:rPr/>
              <w:t>la</w:t>
            </w:r>
            <w:r>
              <w:rPr>
                <w:spacing w:val="1"/>
              </w:rPr>
              <w:t> </w:t>
            </w:r>
            <w:r>
              <w:rPr>
                <w:spacing w:val="-2"/>
              </w:rPr>
              <w:t>investigación</w:t>
            </w:r>
            <w:r>
              <w:rPr/>
              <w:tab/>
            </w:r>
            <w:r>
              <w:rPr>
                <w:spacing w:val="-5"/>
              </w:rPr>
              <w:t>39</w:t>
            </w:r>
          </w:hyperlink>
        </w:p>
        <w:p>
          <w:pPr>
            <w:pStyle w:val="TOC5"/>
            <w:numPr>
              <w:ilvl w:val="1"/>
              <w:numId w:val="5"/>
            </w:numPr>
            <w:tabs>
              <w:tab w:pos="1523" w:val="left" w:leader="none"/>
              <w:tab w:pos="8692" w:val="left" w:leader="dot"/>
            </w:tabs>
            <w:spacing w:line="240" w:lineRule="auto" w:before="376" w:after="0"/>
            <w:ind w:left="1523" w:right="0" w:hanging="420"/>
            <w:jc w:val="left"/>
          </w:pPr>
          <w:hyperlink w:history="true" w:anchor="_bookmark43">
            <w:r>
              <w:rPr/>
              <w:t>Método</w:t>
            </w:r>
            <w:r>
              <w:rPr>
                <w:spacing w:val="-2"/>
              </w:rPr>
              <w:t> </w:t>
            </w:r>
            <w:r>
              <w:rPr/>
              <w:t>aplicado</w:t>
            </w:r>
            <w:r>
              <w:rPr>
                <w:spacing w:val="-1"/>
              </w:rPr>
              <w:t> </w:t>
            </w:r>
            <w:r>
              <w:rPr/>
              <w:t>a</w:t>
            </w:r>
            <w:r>
              <w:rPr>
                <w:spacing w:val="-2"/>
              </w:rPr>
              <w:t> </w:t>
            </w:r>
            <w:r>
              <w:rPr/>
              <w:t>la</w:t>
            </w:r>
            <w:r>
              <w:rPr>
                <w:spacing w:val="-1"/>
              </w:rPr>
              <w:t> </w:t>
            </w:r>
            <w:r>
              <w:rPr>
                <w:spacing w:val="-2"/>
              </w:rPr>
              <w:t>investigación</w:t>
            </w:r>
            <w:r>
              <w:rPr/>
              <w:tab/>
            </w:r>
            <w:r>
              <w:rPr>
                <w:spacing w:val="-5"/>
              </w:rPr>
              <w:t>39</w:t>
            </w:r>
          </w:hyperlink>
        </w:p>
        <w:p>
          <w:pPr>
            <w:pStyle w:val="TOC5"/>
            <w:numPr>
              <w:ilvl w:val="1"/>
              <w:numId w:val="5"/>
            </w:numPr>
            <w:tabs>
              <w:tab w:pos="1523" w:val="left" w:leader="none"/>
              <w:tab w:pos="8692" w:val="left" w:leader="dot"/>
            </w:tabs>
            <w:spacing w:line="240" w:lineRule="auto" w:before="376" w:after="0"/>
            <w:ind w:left="1523" w:right="0" w:hanging="420"/>
            <w:jc w:val="left"/>
          </w:pPr>
          <w:hyperlink w:history="true" w:anchor="_bookmark44">
            <w:r>
              <w:rPr/>
              <w:t>Tipo</w:t>
            </w:r>
            <w:r>
              <w:rPr>
                <w:spacing w:val="-1"/>
              </w:rPr>
              <w:t> </w:t>
            </w:r>
            <w:r>
              <w:rPr/>
              <w:t>de</w:t>
            </w:r>
            <w:r>
              <w:rPr>
                <w:spacing w:val="-1"/>
              </w:rPr>
              <w:t> </w:t>
            </w:r>
            <w:r>
              <w:rPr>
                <w:spacing w:val="-2"/>
              </w:rPr>
              <w:t>investigación</w:t>
            </w:r>
            <w:r>
              <w:rPr/>
              <w:tab/>
            </w:r>
            <w:r>
              <w:rPr>
                <w:spacing w:val="-5"/>
              </w:rPr>
              <w:t>39</w:t>
            </w:r>
          </w:hyperlink>
        </w:p>
        <w:p>
          <w:pPr>
            <w:pStyle w:val="TOC5"/>
            <w:numPr>
              <w:ilvl w:val="1"/>
              <w:numId w:val="5"/>
            </w:numPr>
            <w:tabs>
              <w:tab w:pos="1523" w:val="left" w:leader="none"/>
              <w:tab w:pos="8692" w:val="left" w:leader="dot"/>
            </w:tabs>
            <w:spacing w:line="240" w:lineRule="auto" w:before="376" w:after="240"/>
            <w:ind w:left="1523" w:right="0" w:hanging="420"/>
            <w:jc w:val="left"/>
          </w:pPr>
          <w:hyperlink w:history="true" w:anchor="_bookmark45">
            <w:r>
              <w:rPr/>
              <w:t>Nivel</w:t>
            </w:r>
            <w:r>
              <w:rPr>
                <w:spacing w:val="-2"/>
              </w:rPr>
              <w:t> </w:t>
            </w:r>
            <w:r>
              <w:rPr/>
              <w:t>de </w:t>
            </w:r>
            <w:r>
              <w:rPr>
                <w:spacing w:val="-2"/>
              </w:rPr>
              <w:t>investigación</w:t>
            </w:r>
            <w:r>
              <w:rPr/>
              <w:tab/>
            </w:r>
            <w:r>
              <w:rPr>
                <w:spacing w:val="-5"/>
              </w:rPr>
              <w:t>39</w:t>
            </w:r>
          </w:hyperlink>
        </w:p>
        <w:p>
          <w:pPr>
            <w:pStyle w:val="TOC5"/>
            <w:numPr>
              <w:ilvl w:val="1"/>
              <w:numId w:val="5"/>
            </w:numPr>
            <w:tabs>
              <w:tab w:pos="1523" w:val="left" w:leader="none"/>
              <w:tab w:pos="8932" w:val="right" w:leader="dot"/>
            </w:tabs>
            <w:spacing w:line="240" w:lineRule="auto" w:before="68" w:after="0"/>
            <w:ind w:left="1523" w:right="0" w:hanging="420"/>
            <w:jc w:val="left"/>
          </w:pPr>
          <w:hyperlink w:history="true" w:anchor="_bookmark46">
            <w:r>
              <w:rPr/>
              <w:t>Diseño de </w:t>
            </w:r>
            <w:r>
              <w:rPr>
                <w:spacing w:val="-2"/>
              </w:rPr>
              <w:t>investigación</w:t>
            </w:r>
            <w:r>
              <w:rPr/>
              <w:tab/>
            </w:r>
            <w:r>
              <w:rPr>
                <w:spacing w:val="-5"/>
              </w:rPr>
              <w:t>40</w:t>
            </w:r>
          </w:hyperlink>
        </w:p>
        <w:p>
          <w:pPr>
            <w:pStyle w:val="TOC5"/>
            <w:numPr>
              <w:ilvl w:val="1"/>
              <w:numId w:val="5"/>
            </w:numPr>
            <w:tabs>
              <w:tab w:pos="1523" w:val="left" w:leader="none"/>
              <w:tab w:pos="8932" w:val="right" w:leader="dot"/>
            </w:tabs>
            <w:spacing w:line="240" w:lineRule="auto" w:before="376" w:after="0"/>
            <w:ind w:left="1523" w:right="0" w:hanging="420"/>
            <w:jc w:val="left"/>
          </w:pPr>
          <w:hyperlink w:history="true" w:anchor="_bookmark47">
            <w:r>
              <w:rPr/>
              <w:t>Población</w:t>
            </w:r>
            <w:r>
              <w:rPr>
                <w:spacing w:val="-2"/>
              </w:rPr>
              <w:t> </w:t>
            </w:r>
            <w:r>
              <w:rPr/>
              <w:t>y</w:t>
            </w:r>
            <w:r>
              <w:rPr>
                <w:spacing w:val="-1"/>
              </w:rPr>
              <w:t> </w:t>
            </w:r>
            <w:r>
              <w:rPr>
                <w:spacing w:val="-2"/>
              </w:rPr>
              <w:t>muestra</w:t>
            </w:r>
            <w:r>
              <w:rPr/>
              <w:tab/>
            </w:r>
            <w:r>
              <w:rPr>
                <w:spacing w:val="-5"/>
              </w:rPr>
              <w:t>40</w:t>
            </w:r>
          </w:hyperlink>
        </w:p>
        <w:p>
          <w:pPr>
            <w:pStyle w:val="TOC6"/>
            <w:numPr>
              <w:ilvl w:val="2"/>
              <w:numId w:val="6"/>
            </w:numPr>
            <w:tabs>
              <w:tab w:pos="1943" w:val="left" w:leader="none"/>
              <w:tab w:pos="8932" w:val="right" w:leader="dot"/>
            </w:tabs>
            <w:spacing w:line="240" w:lineRule="auto" w:before="376" w:after="0"/>
            <w:ind w:left="1943" w:right="0" w:hanging="600"/>
            <w:jc w:val="left"/>
          </w:pPr>
          <w:hyperlink w:history="true" w:anchor="_bookmark48">
            <w:r>
              <w:rPr>
                <w:spacing w:val="-2"/>
              </w:rPr>
              <w:t>Población</w:t>
            </w:r>
            <w:r>
              <w:rPr/>
              <w:tab/>
            </w:r>
            <w:r>
              <w:rPr>
                <w:spacing w:val="-5"/>
              </w:rPr>
              <w:t>40</w:t>
            </w:r>
          </w:hyperlink>
        </w:p>
        <w:p>
          <w:pPr>
            <w:pStyle w:val="TOC6"/>
            <w:numPr>
              <w:ilvl w:val="2"/>
              <w:numId w:val="6"/>
            </w:numPr>
            <w:tabs>
              <w:tab w:pos="1943" w:val="left" w:leader="none"/>
              <w:tab w:pos="8932" w:val="right" w:leader="dot"/>
            </w:tabs>
            <w:spacing w:line="240" w:lineRule="auto" w:before="377" w:after="0"/>
            <w:ind w:left="1943" w:right="0" w:hanging="600"/>
            <w:jc w:val="left"/>
          </w:pPr>
          <w:hyperlink w:history="true" w:anchor="_bookmark49">
            <w:r>
              <w:rPr>
                <w:spacing w:val="-2"/>
              </w:rPr>
              <w:t>Muestra</w:t>
            </w:r>
            <w:r>
              <w:rPr/>
              <w:tab/>
            </w:r>
            <w:r>
              <w:rPr>
                <w:spacing w:val="-5"/>
              </w:rPr>
              <w:t>40</w:t>
            </w:r>
          </w:hyperlink>
        </w:p>
        <w:p>
          <w:pPr>
            <w:pStyle w:val="TOC5"/>
            <w:numPr>
              <w:ilvl w:val="1"/>
              <w:numId w:val="5"/>
            </w:numPr>
            <w:tabs>
              <w:tab w:pos="1523" w:val="left" w:leader="none"/>
              <w:tab w:pos="8932" w:val="right" w:leader="dot"/>
            </w:tabs>
            <w:spacing w:line="240" w:lineRule="auto" w:before="376" w:after="0"/>
            <w:ind w:left="1523" w:right="0" w:hanging="420"/>
            <w:jc w:val="left"/>
          </w:pPr>
          <w:hyperlink w:history="true" w:anchor="_bookmark50">
            <w:r>
              <w:rPr/>
              <w:t>Técnicas</w:t>
            </w:r>
            <w:r>
              <w:rPr>
                <w:spacing w:val="-2"/>
              </w:rPr>
              <w:t> </w:t>
            </w:r>
            <w:r>
              <w:rPr/>
              <w:t>e</w:t>
            </w:r>
            <w:r>
              <w:rPr>
                <w:spacing w:val="-1"/>
              </w:rPr>
              <w:t> </w:t>
            </w:r>
            <w:r>
              <w:rPr>
                <w:spacing w:val="-2"/>
              </w:rPr>
              <w:t>instrumento</w:t>
            </w:r>
            <w:r>
              <w:rPr/>
              <w:tab/>
            </w:r>
            <w:r>
              <w:rPr>
                <w:spacing w:val="-5"/>
              </w:rPr>
              <w:t>42</w:t>
            </w:r>
          </w:hyperlink>
        </w:p>
        <w:p>
          <w:pPr>
            <w:pStyle w:val="TOC6"/>
            <w:numPr>
              <w:ilvl w:val="2"/>
              <w:numId w:val="5"/>
            </w:numPr>
            <w:tabs>
              <w:tab w:pos="2103" w:val="left" w:leader="none"/>
              <w:tab w:pos="8932" w:val="right" w:leader="dot"/>
            </w:tabs>
            <w:spacing w:line="240" w:lineRule="auto" w:before="376" w:after="0"/>
            <w:ind w:left="2103" w:right="0" w:hanging="760"/>
            <w:jc w:val="left"/>
          </w:pPr>
          <w:hyperlink w:history="true" w:anchor="_bookmark51">
            <w:r>
              <w:rPr>
                <w:spacing w:val="-2"/>
              </w:rPr>
              <w:t>Técnica</w:t>
            </w:r>
            <w:r>
              <w:rPr/>
              <w:tab/>
            </w:r>
            <w:r>
              <w:rPr>
                <w:spacing w:val="-5"/>
              </w:rPr>
              <w:t>42</w:t>
            </w:r>
          </w:hyperlink>
        </w:p>
        <w:p>
          <w:pPr>
            <w:pStyle w:val="TOC6"/>
            <w:numPr>
              <w:ilvl w:val="2"/>
              <w:numId w:val="5"/>
            </w:numPr>
            <w:tabs>
              <w:tab w:pos="2103" w:val="left" w:leader="none"/>
              <w:tab w:pos="8932" w:val="right" w:leader="dot"/>
            </w:tabs>
            <w:spacing w:line="240" w:lineRule="auto" w:before="376" w:after="0"/>
            <w:ind w:left="2103" w:right="0" w:hanging="760"/>
            <w:jc w:val="left"/>
          </w:pPr>
          <w:hyperlink w:history="true" w:anchor="_bookmark52">
            <w:r>
              <w:rPr>
                <w:spacing w:val="-2"/>
              </w:rPr>
              <w:t>Instrumento</w:t>
            </w:r>
            <w:r>
              <w:rPr/>
              <w:tab/>
            </w:r>
            <w:r>
              <w:rPr>
                <w:spacing w:val="-5"/>
              </w:rPr>
              <w:t>42</w:t>
            </w:r>
          </w:hyperlink>
        </w:p>
        <w:p>
          <w:pPr>
            <w:pStyle w:val="TOC5"/>
            <w:numPr>
              <w:ilvl w:val="1"/>
              <w:numId w:val="5"/>
            </w:numPr>
            <w:tabs>
              <w:tab w:pos="1903" w:val="left" w:leader="none"/>
              <w:tab w:pos="8932" w:val="right" w:leader="dot"/>
            </w:tabs>
            <w:spacing w:line="240" w:lineRule="auto" w:before="376" w:after="0"/>
            <w:ind w:left="1903" w:right="0" w:hanging="800"/>
            <w:jc w:val="left"/>
          </w:pPr>
          <w:hyperlink w:history="true" w:anchor="_bookmark53">
            <w:r>
              <w:rPr/>
              <w:t>Confiabilidad</w:t>
            </w:r>
            <w:r>
              <w:rPr>
                <w:spacing w:val="-2"/>
              </w:rPr>
              <w:t> </w:t>
            </w:r>
            <w:r>
              <w:rPr/>
              <w:t>y</w:t>
            </w:r>
            <w:r>
              <w:rPr>
                <w:spacing w:val="-2"/>
              </w:rPr>
              <w:t> </w:t>
            </w:r>
            <w:r>
              <w:rPr/>
              <w:t>validez</w:t>
            </w:r>
            <w:r>
              <w:rPr>
                <w:spacing w:val="-3"/>
              </w:rPr>
              <w:t> </w:t>
            </w:r>
            <w:r>
              <w:rPr/>
              <w:t>del</w:t>
            </w:r>
            <w:r>
              <w:rPr>
                <w:spacing w:val="-3"/>
              </w:rPr>
              <w:t> </w:t>
            </w:r>
            <w:r>
              <w:rPr>
                <w:spacing w:val="-2"/>
              </w:rPr>
              <w:t>instrumento</w:t>
            </w:r>
            <w:r>
              <w:rPr/>
              <w:tab/>
            </w:r>
            <w:r>
              <w:rPr>
                <w:spacing w:val="-5"/>
              </w:rPr>
              <w:t>42</w:t>
            </w:r>
          </w:hyperlink>
        </w:p>
        <w:p>
          <w:pPr>
            <w:pStyle w:val="TOC6"/>
            <w:numPr>
              <w:ilvl w:val="2"/>
              <w:numId w:val="5"/>
            </w:numPr>
            <w:tabs>
              <w:tab w:pos="2103" w:val="left" w:leader="none"/>
              <w:tab w:pos="8932" w:val="right" w:leader="dot"/>
            </w:tabs>
            <w:spacing w:line="240" w:lineRule="auto" w:before="376" w:after="0"/>
            <w:ind w:left="2103" w:right="0" w:hanging="760"/>
            <w:jc w:val="left"/>
          </w:pPr>
          <w:hyperlink w:history="true" w:anchor="_bookmark54">
            <w:r>
              <w:rPr>
                <w:spacing w:val="-2"/>
              </w:rPr>
              <w:t>Confiabilidad</w:t>
            </w:r>
            <w:r>
              <w:rPr/>
              <w:tab/>
            </w:r>
            <w:r>
              <w:rPr>
                <w:spacing w:val="-5"/>
              </w:rPr>
              <w:t>42</w:t>
            </w:r>
          </w:hyperlink>
        </w:p>
        <w:p>
          <w:pPr>
            <w:pStyle w:val="TOC6"/>
            <w:numPr>
              <w:ilvl w:val="2"/>
              <w:numId w:val="5"/>
            </w:numPr>
            <w:tabs>
              <w:tab w:pos="2103" w:val="left" w:leader="none"/>
              <w:tab w:pos="8932" w:val="right" w:leader="dot"/>
            </w:tabs>
            <w:spacing w:line="240" w:lineRule="auto" w:before="376" w:after="0"/>
            <w:ind w:left="2103" w:right="0" w:hanging="760"/>
            <w:jc w:val="left"/>
          </w:pPr>
          <w:hyperlink w:history="true" w:anchor="_bookmark57">
            <w:r>
              <w:rPr>
                <w:spacing w:val="-2"/>
              </w:rPr>
              <w:t>Validez</w:t>
            </w:r>
            <w:r>
              <w:rPr/>
              <w:tab/>
            </w:r>
            <w:r>
              <w:rPr>
                <w:spacing w:val="-5"/>
              </w:rPr>
              <w:t>43</w:t>
            </w:r>
          </w:hyperlink>
        </w:p>
        <w:p>
          <w:pPr>
            <w:pStyle w:val="TOC5"/>
            <w:numPr>
              <w:ilvl w:val="1"/>
              <w:numId w:val="5"/>
            </w:numPr>
            <w:tabs>
              <w:tab w:pos="1903" w:val="left" w:leader="none"/>
              <w:tab w:pos="8932" w:val="right" w:leader="dot"/>
            </w:tabs>
            <w:spacing w:line="240" w:lineRule="auto" w:before="376" w:after="0"/>
            <w:ind w:left="1903" w:right="0" w:hanging="800"/>
            <w:jc w:val="left"/>
          </w:pPr>
          <w:hyperlink w:history="true" w:anchor="_bookmark58">
            <w:r>
              <w:rPr/>
              <w:t>Procedimiento</w:t>
            </w:r>
            <w:r>
              <w:rPr>
                <w:spacing w:val="-3"/>
              </w:rPr>
              <w:t> </w:t>
            </w:r>
            <w:r>
              <w:rPr/>
              <w:t>de</w:t>
            </w:r>
            <w:r>
              <w:rPr>
                <w:spacing w:val="-2"/>
              </w:rPr>
              <w:t> </w:t>
            </w:r>
            <w:r>
              <w:rPr/>
              <w:t>tratamiento</w:t>
            </w:r>
            <w:r>
              <w:rPr>
                <w:spacing w:val="-3"/>
              </w:rPr>
              <w:t> </w:t>
            </w:r>
            <w:r>
              <w:rPr/>
              <w:t>de</w:t>
            </w:r>
            <w:r>
              <w:rPr>
                <w:spacing w:val="-2"/>
              </w:rPr>
              <w:t> datos</w:t>
            </w:r>
            <w:r>
              <w:rPr/>
              <w:tab/>
            </w:r>
            <w:r>
              <w:rPr>
                <w:spacing w:val="-5"/>
              </w:rPr>
              <w:t>43</w:t>
            </w:r>
          </w:hyperlink>
        </w:p>
        <w:p>
          <w:pPr>
            <w:pStyle w:val="TOC5"/>
            <w:numPr>
              <w:ilvl w:val="1"/>
              <w:numId w:val="5"/>
            </w:numPr>
            <w:tabs>
              <w:tab w:pos="1903" w:val="left" w:leader="none"/>
              <w:tab w:pos="8932" w:val="right" w:leader="dot"/>
            </w:tabs>
            <w:spacing w:line="240" w:lineRule="auto" w:before="376" w:after="0"/>
            <w:ind w:left="1903" w:right="0" w:hanging="800"/>
            <w:jc w:val="left"/>
          </w:pPr>
          <w:hyperlink w:history="true" w:anchor="_bookmark59">
            <w:r>
              <w:rPr/>
              <w:t>Contrastación</w:t>
            </w:r>
            <w:r>
              <w:rPr>
                <w:spacing w:val="-2"/>
              </w:rPr>
              <w:t> </w:t>
            </w:r>
            <w:r>
              <w:rPr/>
              <w:t>de</w:t>
            </w:r>
            <w:r>
              <w:rPr>
                <w:spacing w:val="-1"/>
              </w:rPr>
              <w:t> </w:t>
            </w:r>
            <w:r>
              <w:rPr>
                <w:spacing w:val="-2"/>
              </w:rPr>
              <w:t>hipótesis</w:t>
            </w:r>
            <w:r>
              <w:rPr/>
              <w:tab/>
            </w:r>
            <w:r>
              <w:rPr>
                <w:spacing w:val="-5"/>
              </w:rPr>
              <w:t>43</w:t>
            </w:r>
          </w:hyperlink>
        </w:p>
        <w:p>
          <w:pPr>
            <w:pStyle w:val="TOC9"/>
            <w:spacing w:line="480" w:lineRule="auto"/>
          </w:pPr>
          <w:hyperlink w:history="true" w:anchor="_bookmark68">
            <w:r>
              <w:rPr/>
              <w:t>CAPÍTULO VI</w:t>
            </w:r>
          </w:hyperlink>
          <w:r>
            <w:rPr/>
            <w:t> </w:t>
          </w:r>
          <w:hyperlink w:history="true" w:anchor="_bookmark69">
            <w:r>
              <w:rPr/>
              <w:t>RESULTADOS</w:t>
            </w:r>
            <w:r>
              <w:rPr>
                <w:spacing w:val="-15"/>
              </w:rPr>
              <w:t> </w:t>
            </w:r>
            <w:r>
              <w:rPr/>
              <w:t>Y</w:t>
            </w:r>
            <w:r>
              <w:rPr>
                <w:spacing w:val="-15"/>
              </w:rPr>
              <w:t> </w:t>
            </w:r>
            <w:r>
              <w:rPr/>
              <w:t>DISCUSIÓN</w:t>
            </w:r>
          </w:hyperlink>
        </w:p>
        <w:p>
          <w:pPr>
            <w:pStyle w:val="TOC5"/>
            <w:numPr>
              <w:ilvl w:val="1"/>
              <w:numId w:val="7"/>
            </w:numPr>
            <w:tabs>
              <w:tab w:pos="1523" w:val="left" w:leader="none"/>
              <w:tab w:pos="8932" w:val="right" w:leader="dot"/>
            </w:tabs>
            <w:spacing w:line="240" w:lineRule="auto" w:before="0" w:after="0"/>
            <w:ind w:left="1523" w:right="0" w:hanging="420"/>
            <w:jc w:val="left"/>
          </w:pPr>
          <w:hyperlink w:history="true" w:anchor="_bookmark70">
            <w:r>
              <w:rPr/>
              <w:t>Presentación</w:t>
            </w:r>
            <w:r>
              <w:rPr>
                <w:spacing w:val="-3"/>
              </w:rPr>
              <w:t> </w:t>
            </w:r>
            <w:r>
              <w:rPr/>
              <w:t>de</w:t>
            </w:r>
            <w:r>
              <w:rPr>
                <w:spacing w:val="-1"/>
              </w:rPr>
              <w:t> </w:t>
            </w:r>
            <w:r>
              <w:rPr>
                <w:spacing w:val="-2"/>
              </w:rPr>
              <w:t>resultados</w:t>
            </w:r>
            <w:r>
              <w:rPr/>
              <w:tab/>
            </w:r>
            <w:r>
              <w:rPr>
                <w:spacing w:val="-5"/>
              </w:rPr>
              <w:t>48</w:t>
            </w:r>
          </w:hyperlink>
        </w:p>
        <w:p>
          <w:pPr>
            <w:pStyle w:val="TOC5"/>
            <w:numPr>
              <w:ilvl w:val="1"/>
              <w:numId w:val="7"/>
            </w:numPr>
            <w:tabs>
              <w:tab w:pos="1523" w:val="left" w:leader="none"/>
              <w:tab w:pos="8932" w:val="right" w:leader="dot"/>
            </w:tabs>
            <w:spacing w:line="240" w:lineRule="auto" w:before="376" w:after="0"/>
            <w:ind w:left="1523" w:right="0" w:hanging="420"/>
            <w:jc w:val="left"/>
          </w:pPr>
          <w:hyperlink w:history="true" w:anchor="_bookmark74">
            <w:r>
              <w:rPr/>
              <w:t>Discusión de </w:t>
            </w:r>
            <w:r>
              <w:rPr>
                <w:spacing w:val="-2"/>
              </w:rPr>
              <w:t>resultados</w:t>
            </w:r>
            <w:r>
              <w:rPr/>
              <w:tab/>
            </w:r>
            <w:r>
              <w:rPr>
                <w:spacing w:val="-5"/>
              </w:rPr>
              <w:t>56</w:t>
            </w:r>
          </w:hyperlink>
        </w:p>
        <w:p>
          <w:pPr>
            <w:pStyle w:val="TOC3"/>
            <w:tabs>
              <w:tab w:pos="8932" w:val="right" w:leader="dot"/>
            </w:tabs>
            <w:spacing w:before="377"/>
          </w:pPr>
          <w:hyperlink w:history="true" w:anchor="_bookmark75">
            <w:r>
              <w:rPr>
                <w:spacing w:val="-2"/>
              </w:rPr>
              <w:t>CONCLUSIONES</w:t>
            </w:r>
            <w:r>
              <w:rPr/>
              <w:tab/>
            </w:r>
            <w:r>
              <w:rPr>
                <w:spacing w:val="-5"/>
              </w:rPr>
              <w:t>61</w:t>
            </w:r>
          </w:hyperlink>
        </w:p>
        <w:p>
          <w:pPr>
            <w:pStyle w:val="TOC3"/>
            <w:tabs>
              <w:tab w:pos="8932" w:val="right" w:leader="dot"/>
            </w:tabs>
          </w:pPr>
          <w:hyperlink w:history="true" w:anchor="_bookmark76">
            <w:r>
              <w:rPr>
                <w:spacing w:val="-2"/>
              </w:rPr>
              <w:t>RECOMENDACIONES</w:t>
            </w:r>
            <w:r>
              <w:rPr/>
              <w:tab/>
            </w:r>
            <w:r>
              <w:rPr>
                <w:spacing w:val="-5"/>
              </w:rPr>
              <w:t>64</w:t>
            </w:r>
          </w:hyperlink>
        </w:p>
        <w:p>
          <w:pPr>
            <w:pStyle w:val="TOC3"/>
            <w:tabs>
              <w:tab w:pos="8932" w:val="right" w:leader="dot"/>
            </w:tabs>
          </w:pPr>
          <w:hyperlink w:history="true" w:anchor="_bookmark77">
            <w:r>
              <w:rPr>
                <w:spacing w:val="-2"/>
              </w:rPr>
              <w:t>REFERENCIAS</w:t>
            </w:r>
            <w:r>
              <w:rPr/>
              <w:tab/>
            </w:r>
            <w:r>
              <w:rPr>
                <w:spacing w:val="-5"/>
              </w:rPr>
              <w:t>66</w:t>
            </w:r>
          </w:hyperlink>
        </w:p>
        <w:p>
          <w:pPr>
            <w:pStyle w:val="TOC5"/>
            <w:tabs>
              <w:tab w:pos="8932" w:val="right" w:leader="dot"/>
            </w:tabs>
            <w:spacing w:before="276"/>
            <w:ind w:left="1103" w:firstLine="0"/>
          </w:pPr>
          <w:hyperlink w:history="true" w:anchor="_bookmark78">
            <w:r>
              <w:rPr>
                <w:spacing w:val="-2"/>
              </w:rPr>
              <w:t>ANEXOS</w:t>
            </w:r>
            <w:r>
              <w:rPr/>
              <w:tab/>
            </w:r>
            <w:r>
              <w:rPr>
                <w:spacing w:val="-5"/>
              </w:rPr>
              <w:t>69</w:t>
            </w:r>
          </w:hyperlink>
        </w:p>
        <w:p>
          <w:pPr>
            <w:pStyle w:val="TOC5"/>
            <w:tabs>
              <w:tab w:pos="8932" w:val="right" w:leader="dot"/>
            </w:tabs>
            <w:ind w:left="1103" w:firstLine="0"/>
          </w:pPr>
          <w:hyperlink w:history="true" w:anchor="_bookmark79">
            <w:r>
              <w:rPr/>
              <w:t>Matriz</w:t>
            </w:r>
            <w:r>
              <w:rPr>
                <w:spacing w:val="-4"/>
              </w:rPr>
              <w:t> </w:t>
            </w:r>
            <w:r>
              <w:rPr/>
              <w:t>de</w:t>
            </w:r>
            <w:r>
              <w:rPr>
                <w:spacing w:val="-2"/>
              </w:rPr>
              <w:t> consistencia</w:t>
            </w:r>
            <w:r>
              <w:rPr/>
              <w:tab/>
            </w:r>
            <w:r>
              <w:rPr>
                <w:spacing w:val="-5"/>
              </w:rPr>
              <w:t>70</w:t>
            </w:r>
          </w:hyperlink>
        </w:p>
        <w:p>
          <w:pPr>
            <w:pStyle w:val="TOC5"/>
            <w:tabs>
              <w:tab w:pos="8932" w:val="right" w:leader="dot"/>
            </w:tabs>
            <w:spacing w:after="240"/>
            <w:ind w:left="1103" w:firstLine="0"/>
          </w:pPr>
          <w:hyperlink w:history="true" w:anchor="_bookmark80">
            <w:r>
              <w:rPr/>
              <w:t>Matriz</w:t>
            </w:r>
            <w:r>
              <w:rPr>
                <w:spacing w:val="-2"/>
              </w:rPr>
              <w:t> </w:t>
            </w:r>
            <w:r>
              <w:rPr/>
              <w:t>de</w:t>
            </w:r>
            <w:r>
              <w:rPr>
                <w:spacing w:val="-2"/>
              </w:rPr>
              <w:t> datos</w:t>
            </w:r>
            <w:r>
              <w:rPr/>
              <w:tab/>
            </w:r>
            <w:r>
              <w:rPr>
                <w:spacing w:val="-5"/>
              </w:rPr>
              <w:t>71</w:t>
            </w:r>
          </w:hyperlink>
        </w:p>
        <w:p>
          <w:pPr>
            <w:pStyle w:val="TOC5"/>
            <w:tabs>
              <w:tab w:pos="8932" w:val="right" w:leader="dot"/>
            </w:tabs>
            <w:spacing w:before="68"/>
            <w:ind w:left="1103" w:firstLine="0"/>
          </w:pPr>
          <w:hyperlink w:history="true" w:anchor="_bookmark81">
            <w:r>
              <w:rPr>
                <w:spacing w:val="-2"/>
              </w:rPr>
              <w:t>Instrumento</w:t>
            </w:r>
            <w:r>
              <w:rPr/>
              <w:tab/>
            </w:r>
            <w:r>
              <w:rPr>
                <w:spacing w:val="-5"/>
              </w:rPr>
              <w:t>75</w:t>
            </w:r>
          </w:hyperlink>
        </w:p>
        <w:p>
          <w:pPr>
            <w:pStyle w:val="TOC5"/>
            <w:tabs>
              <w:tab w:pos="8932" w:val="right" w:leader="dot"/>
            </w:tabs>
            <w:ind w:left="1103" w:firstLine="0"/>
          </w:pPr>
          <w:hyperlink w:history="true" w:anchor="_bookmark82">
            <w:r>
              <w:rPr/>
              <w:t>Validación</w:t>
            </w:r>
            <w:r>
              <w:rPr>
                <w:spacing w:val="-3"/>
              </w:rPr>
              <w:t> </w:t>
            </w:r>
            <w:r>
              <w:rPr/>
              <w:t>Del</w:t>
            </w:r>
            <w:r>
              <w:rPr>
                <w:spacing w:val="-2"/>
              </w:rPr>
              <w:t> Instrumento</w:t>
            </w:r>
            <w:r>
              <w:rPr/>
              <w:tab/>
            </w:r>
            <w:r>
              <w:rPr>
                <w:spacing w:val="-5"/>
              </w:rPr>
              <w:t>77</w:t>
            </w:r>
          </w:hyperlink>
        </w:p>
      </w:sdtContent>
    </w:sdt>
    <w:p>
      <w:pPr>
        <w:pStyle w:val="TOC5"/>
        <w:spacing w:after="0"/>
        <w:sectPr>
          <w:type w:val="continuous"/>
          <w:pgSz w:w="11910" w:h="16840"/>
          <w:pgMar w:header="0" w:footer="693" w:top="1351" w:bottom="0" w:left="1559" w:right="425"/>
        </w:sectPr>
      </w:pPr>
    </w:p>
    <w:p>
      <w:pPr>
        <w:pStyle w:val="Heading2"/>
        <w:spacing w:before="66"/>
        <w:ind w:left="0" w:right="845"/>
      </w:pPr>
      <w:bookmarkStart w:name="_bookmark3" w:id="4"/>
      <w:bookmarkEnd w:id="4"/>
      <w:r>
        <w:rPr>
          <w:b w:val="0"/>
        </w:rPr>
      </w:r>
      <w:r>
        <w:rPr/>
        <w:t>ÍNDICE DE</w:t>
      </w:r>
      <w:r>
        <w:rPr>
          <w:spacing w:val="1"/>
        </w:rPr>
        <w:t> </w:t>
      </w:r>
      <w:r>
        <w:rPr>
          <w:spacing w:val="-2"/>
        </w:rPr>
        <w:t>TABLAS</w:t>
      </w:r>
    </w:p>
    <w:p>
      <w:pPr>
        <w:pStyle w:val="BodyText"/>
        <w:spacing w:before="120"/>
        <w:rPr>
          <w:b/>
        </w:rPr>
      </w:pPr>
    </w:p>
    <w:p>
      <w:pPr>
        <w:pStyle w:val="BodyText"/>
        <w:tabs>
          <w:tab w:pos="8692" w:val="left" w:leader="dot"/>
        </w:tabs>
        <w:ind w:left="143"/>
      </w:pPr>
      <w:hyperlink w:history="true" w:anchor="_bookmark38">
        <w:r>
          <w:rPr/>
          <w:t>Tabla</w:t>
        </w:r>
        <w:r>
          <w:rPr>
            <w:spacing w:val="-2"/>
          </w:rPr>
          <w:t> </w:t>
        </w:r>
        <w:r>
          <w:rPr/>
          <w:t>1.</w:t>
        </w:r>
      </w:hyperlink>
      <w:r>
        <w:rPr>
          <w:spacing w:val="-2"/>
        </w:rPr>
        <w:t> </w:t>
      </w:r>
      <w:hyperlink w:history="true" w:anchor="_bookmark39">
        <w:r>
          <w:rPr/>
          <w:t>Operacionalización</w:t>
        </w:r>
        <w:r>
          <w:rPr>
            <w:spacing w:val="-2"/>
          </w:rPr>
          <w:t> </w:t>
        </w:r>
        <w:r>
          <w:rPr/>
          <w:t>de</w:t>
        </w:r>
        <w:r>
          <w:rPr>
            <w:spacing w:val="-2"/>
          </w:rPr>
          <w:t> variables</w:t>
        </w:r>
        <w:r>
          <w:rPr/>
          <w:tab/>
        </w:r>
        <w:r>
          <w:rPr>
            <w:spacing w:val="-5"/>
          </w:rPr>
          <w:t>37</w:t>
        </w:r>
      </w:hyperlink>
    </w:p>
    <w:p>
      <w:pPr>
        <w:pStyle w:val="BodyText"/>
        <w:spacing w:before="100"/>
      </w:pPr>
    </w:p>
    <w:p>
      <w:pPr>
        <w:pStyle w:val="BodyText"/>
        <w:tabs>
          <w:tab w:pos="8692" w:val="left" w:leader="dot"/>
        </w:tabs>
        <w:spacing w:before="1"/>
        <w:ind w:left="143"/>
      </w:pPr>
      <w:hyperlink w:history="true" w:anchor="_bookmark55">
        <w:r>
          <w:rPr/>
          <w:t>Tabla</w:t>
        </w:r>
        <w:r>
          <w:rPr>
            <w:spacing w:val="-2"/>
          </w:rPr>
          <w:t> </w:t>
        </w:r>
        <w:r>
          <w:rPr/>
          <w:t>2.</w:t>
        </w:r>
      </w:hyperlink>
      <w:r>
        <w:rPr>
          <w:spacing w:val="-2"/>
        </w:rPr>
        <w:t> </w:t>
      </w:r>
      <w:hyperlink w:history="true" w:anchor="_bookmark56">
        <w:r>
          <w:rPr/>
          <w:t>Confiabilidad</w:t>
        </w:r>
        <w:r>
          <w:rPr>
            <w:spacing w:val="-1"/>
          </w:rPr>
          <w:t> </w:t>
        </w:r>
        <w:r>
          <w:rPr/>
          <w:t>del</w:t>
        </w:r>
        <w:r>
          <w:rPr>
            <w:spacing w:val="-3"/>
          </w:rPr>
          <w:t> </w:t>
        </w:r>
        <w:r>
          <w:rPr>
            <w:spacing w:val="-2"/>
          </w:rPr>
          <w:t>instrumento</w:t>
        </w:r>
        <w:r>
          <w:rPr/>
          <w:tab/>
        </w:r>
        <w:r>
          <w:rPr>
            <w:spacing w:val="-5"/>
          </w:rPr>
          <w:t>42</w:t>
        </w:r>
      </w:hyperlink>
    </w:p>
    <w:p>
      <w:pPr>
        <w:pStyle w:val="BodyText"/>
        <w:spacing w:before="99"/>
      </w:pPr>
    </w:p>
    <w:p>
      <w:pPr>
        <w:pStyle w:val="BodyText"/>
        <w:tabs>
          <w:tab w:pos="8692" w:val="left" w:leader="dot"/>
        </w:tabs>
        <w:spacing w:before="1"/>
        <w:ind w:left="143"/>
      </w:pPr>
      <w:hyperlink w:history="true" w:anchor="_bookmark60">
        <w:r>
          <w:rPr/>
          <w:t>Tabla</w:t>
        </w:r>
        <w:r>
          <w:rPr>
            <w:spacing w:val="-3"/>
          </w:rPr>
          <w:t> </w:t>
        </w:r>
        <w:r>
          <w:rPr/>
          <w:t>3.</w:t>
        </w:r>
      </w:hyperlink>
      <w:r>
        <w:rPr>
          <w:spacing w:val="-1"/>
        </w:rPr>
        <w:t> </w:t>
      </w:r>
      <w:hyperlink w:history="true" w:anchor="_bookmark61">
        <w:r>
          <w:rPr/>
          <w:t>Prueba</w:t>
        </w:r>
        <w:r>
          <w:rPr>
            <w:spacing w:val="-1"/>
          </w:rPr>
          <w:t> </w:t>
        </w:r>
        <w:r>
          <w:rPr/>
          <w:t>de</w:t>
        </w:r>
        <w:r>
          <w:rPr>
            <w:spacing w:val="-1"/>
          </w:rPr>
          <w:t> </w:t>
        </w:r>
        <w:r>
          <w:rPr/>
          <w:t>Chi-cuadrado</w:t>
        </w:r>
        <w:r>
          <w:rPr>
            <w:spacing w:val="-2"/>
          </w:rPr>
          <w:t> </w:t>
        </w:r>
        <w:r>
          <w:rPr/>
          <w:t>de la</w:t>
        </w:r>
        <w:r>
          <w:rPr>
            <w:spacing w:val="-2"/>
          </w:rPr>
          <w:t> </w:t>
        </w:r>
        <w:r>
          <w:rPr>
            <w:spacing w:val="-5"/>
          </w:rPr>
          <w:t>HG</w:t>
        </w:r>
        <w:r>
          <w:rPr/>
          <w:tab/>
        </w:r>
        <w:r>
          <w:rPr>
            <w:spacing w:val="-5"/>
          </w:rPr>
          <w:t>44</w:t>
        </w:r>
      </w:hyperlink>
    </w:p>
    <w:p>
      <w:pPr>
        <w:pStyle w:val="BodyText"/>
        <w:spacing w:before="99"/>
      </w:pPr>
    </w:p>
    <w:p>
      <w:pPr>
        <w:pStyle w:val="BodyText"/>
        <w:tabs>
          <w:tab w:pos="8692" w:val="left" w:leader="dot"/>
        </w:tabs>
        <w:spacing w:before="1"/>
        <w:ind w:left="143"/>
      </w:pPr>
      <w:hyperlink w:history="true" w:anchor="_bookmark62">
        <w:r>
          <w:rPr/>
          <w:t>Tabla</w:t>
        </w:r>
        <w:r>
          <w:rPr>
            <w:spacing w:val="-3"/>
          </w:rPr>
          <w:t> </w:t>
        </w:r>
        <w:r>
          <w:rPr/>
          <w:t>4.</w:t>
        </w:r>
      </w:hyperlink>
      <w:r>
        <w:rPr>
          <w:spacing w:val="-1"/>
        </w:rPr>
        <w:t> </w:t>
      </w:r>
      <w:hyperlink w:history="true" w:anchor="_bookmark63">
        <w:r>
          <w:rPr/>
          <w:t>Prueba</w:t>
        </w:r>
        <w:r>
          <w:rPr>
            <w:spacing w:val="-1"/>
          </w:rPr>
          <w:t> </w:t>
        </w:r>
        <w:r>
          <w:rPr/>
          <w:t>de</w:t>
        </w:r>
        <w:r>
          <w:rPr>
            <w:spacing w:val="-1"/>
          </w:rPr>
          <w:t> </w:t>
        </w:r>
        <w:r>
          <w:rPr/>
          <w:t>Chi-cuadrado</w:t>
        </w:r>
        <w:r>
          <w:rPr>
            <w:spacing w:val="-2"/>
          </w:rPr>
          <w:t> </w:t>
        </w:r>
        <w:r>
          <w:rPr/>
          <w:t>de la</w:t>
        </w:r>
        <w:r>
          <w:rPr>
            <w:spacing w:val="-2"/>
          </w:rPr>
          <w:t> </w:t>
        </w:r>
        <w:r>
          <w:rPr>
            <w:spacing w:val="-5"/>
          </w:rPr>
          <w:t>HE1</w:t>
        </w:r>
        <w:r>
          <w:rPr/>
          <w:tab/>
        </w:r>
        <w:r>
          <w:rPr>
            <w:spacing w:val="-5"/>
          </w:rPr>
          <w:t>45</w:t>
        </w:r>
      </w:hyperlink>
    </w:p>
    <w:p>
      <w:pPr>
        <w:pStyle w:val="BodyText"/>
        <w:spacing w:before="99"/>
      </w:pPr>
    </w:p>
    <w:p>
      <w:pPr>
        <w:pStyle w:val="BodyText"/>
        <w:tabs>
          <w:tab w:pos="8692" w:val="left" w:leader="dot"/>
        </w:tabs>
        <w:spacing w:before="1"/>
        <w:ind w:left="143"/>
      </w:pPr>
      <w:hyperlink w:history="true" w:anchor="_bookmark64">
        <w:r>
          <w:rPr/>
          <w:t>Tabla</w:t>
        </w:r>
        <w:r>
          <w:rPr>
            <w:spacing w:val="-3"/>
          </w:rPr>
          <w:t> </w:t>
        </w:r>
        <w:r>
          <w:rPr/>
          <w:t>5.</w:t>
        </w:r>
      </w:hyperlink>
      <w:r>
        <w:rPr>
          <w:spacing w:val="-1"/>
        </w:rPr>
        <w:t> </w:t>
      </w:r>
      <w:hyperlink w:history="true" w:anchor="_bookmark65">
        <w:r>
          <w:rPr/>
          <w:t>Prueba</w:t>
        </w:r>
        <w:r>
          <w:rPr>
            <w:spacing w:val="-1"/>
          </w:rPr>
          <w:t> </w:t>
        </w:r>
        <w:r>
          <w:rPr/>
          <w:t>de</w:t>
        </w:r>
        <w:r>
          <w:rPr>
            <w:spacing w:val="-1"/>
          </w:rPr>
          <w:t> </w:t>
        </w:r>
        <w:r>
          <w:rPr/>
          <w:t>Chi-cuadrado</w:t>
        </w:r>
        <w:r>
          <w:rPr>
            <w:spacing w:val="-2"/>
          </w:rPr>
          <w:t> </w:t>
        </w:r>
        <w:r>
          <w:rPr/>
          <w:t>de la</w:t>
        </w:r>
        <w:r>
          <w:rPr>
            <w:spacing w:val="-2"/>
          </w:rPr>
          <w:t> </w:t>
        </w:r>
        <w:r>
          <w:rPr>
            <w:spacing w:val="-5"/>
          </w:rPr>
          <w:t>HE2</w:t>
        </w:r>
        <w:r>
          <w:rPr/>
          <w:tab/>
        </w:r>
        <w:r>
          <w:rPr>
            <w:spacing w:val="-5"/>
          </w:rPr>
          <w:t>46</w:t>
        </w:r>
      </w:hyperlink>
    </w:p>
    <w:p>
      <w:pPr>
        <w:pStyle w:val="BodyText"/>
        <w:spacing w:before="100"/>
      </w:pPr>
    </w:p>
    <w:p>
      <w:pPr>
        <w:pStyle w:val="BodyText"/>
        <w:tabs>
          <w:tab w:pos="8692" w:val="left" w:leader="dot"/>
        </w:tabs>
        <w:ind w:left="143"/>
      </w:pPr>
      <w:hyperlink w:history="true" w:anchor="_bookmark66">
        <w:r>
          <w:rPr/>
          <w:t>Tabla</w:t>
        </w:r>
        <w:r>
          <w:rPr>
            <w:spacing w:val="-3"/>
          </w:rPr>
          <w:t> </w:t>
        </w:r>
        <w:r>
          <w:rPr/>
          <w:t>6.</w:t>
        </w:r>
      </w:hyperlink>
      <w:r>
        <w:rPr>
          <w:spacing w:val="-1"/>
        </w:rPr>
        <w:t> </w:t>
      </w:r>
      <w:hyperlink w:history="true" w:anchor="_bookmark67">
        <w:r>
          <w:rPr/>
          <w:t>Prueba</w:t>
        </w:r>
        <w:r>
          <w:rPr>
            <w:spacing w:val="-1"/>
          </w:rPr>
          <w:t> </w:t>
        </w:r>
        <w:r>
          <w:rPr/>
          <w:t>de</w:t>
        </w:r>
        <w:r>
          <w:rPr>
            <w:spacing w:val="-1"/>
          </w:rPr>
          <w:t> </w:t>
        </w:r>
        <w:r>
          <w:rPr/>
          <w:t>Chi-cuadrado</w:t>
        </w:r>
        <w:r>
          <w:rPr>
            <w:spacing w:val="-2"/>
          </w:rPr>
          <w:t> </w:t>
        </w:r>
        <w:r>
          <w:rPr/>
          <w:t>de la</w:t>
        </w:r>
        <w:r>
          <w:rPr>
            <w:spacing w:val="-2"/>
          </w:rPr>
          <w:t> </w:t>
        </w:r>
        <w:r>
          <w:rPr>
            <w:spacing w:val="-5"/>
          </w:rPr>
          <w:t>HE3</w:t>
        </w:r>
        <w:r>
          <w:rPr/>
          <w:tab/>
        </w:r>
        <w:r>
          <w:rPr>
            <w:spacing w:val="-5"/>
          </w:rPr>
          <w:t>47</w:t>
        </w:r>
      </w:hyperlink>
    </w:p>
    <w:p>
      <w:pPr>
        <w:pStyle w:val="BodyText"/>
        <w:spacing w:before="100"/>
      </w:pPr>
    </w:p>
    <w:p>
      <w:pPr>
        <w:pStyle w:val="BodyText"/>
        <w:tabs>
          <w:tab w:pos="8692" w:val="left" w:leader="dot"/>
        </w:tabs>
        <w:ind w:left="143"/>
      </w:pPr>
      <w:hyperlink w:history="true" w:anchor="_bookmark71">
        <w:r>
          <w:rPr/>
          <w:t>Tabla</w:t>
        </w:r>
        <w:r>
          <w:rPr>
            <w:spacing w:val="-2"/>
          </w:rPr>
          <w:t> </w:t>
        </w:r>
        <w:r>
          <w:rPr/>
          <w:t>7.</w:t>
        </w:r>
      </w:hyperlink>
      <w:r>
        <w:rPr>
          <w:spacing w:val="-1"/>
        </w:rPr>
        <w:t> </w:t>
      </w:r>
      <w:hyperlink w:history="true" w:anchor="_bookmark72">
        <w:r>
          <w:rPr/>
          <w:t>Resultados de</w:t>
        </w:r>
        <w:r>
          <w:rPr>
            <w:spacing w:val="-1"/>
          </w:rPr>
          <w:t> </w:t>
        </w:r>
        <w:r>
          <w:rPr/>
          <w:t>la</w:t>
        </w:r>
        <w:r>
          <w:rPr>
            <w:spacing w:val="-1"/>
          </w:rPr>
          <w:t> </w:t>
        </w:r>
        <w:r>
          <w:rPr/>
          <w:t>normalidad</w:t>
        </w:r>
        <w:r>
          <w:rPr>
            <w:spacing w:val="-1"/>
          </w:rPr>
          <w:t> </w:t>
        </w:r>
        <w:r>
          <w:rPr/>
          <w:t>de</w:t>
        </w:r>
        <w:r>
          <w:rPr>
            <w:spacing w:val="-1"/>
          </w:rPr>
          <w:t> </w:t>
        </w:r>
        <w:r>
          <w:rPr/>
          <w:t>los</w:t>
        </w:r>
        <w:r>
          <w:rPr>
            <w:spacing w:val="-1"/>
          </w:rPr>
          <w:t> </w:t>
        </w:r>
        <w:r>
          <w:rPr>
            <w:spacing w:val="-2"/>
          </w:rPr>
          <w:t>datos</w:t>
        </w:r>
        <w:r>
          <w:rPr/>
          <w:tab/>
        </w:r>
        <w:r>
          <w:rPr>
            <w:spacing w:val="-5"/>
          </w:rPr>
          <w:t>48</w:t>
        </w:r>
      </w:hyperlink>
    </w:p>
    <w:p>
      <w:pPr>
        <w:pStyle w:val="BodyText"/>
        <w:spacing w:before="100"/>
      </w:pPr>
    </w:p>
    <w:p>
      <w:pPr>
        <w:pStyle w:val="BodyText"/>
        <w:tabs>
          <w:tab w:pos="8692" w:val="left" w:leader="dot"/>
        </w:tabs>
        <w:ind w:left="143"/>
      </w:pPr>
      <w:hyperlink w:history="true" w:anchor="_bookmark73">
        <w:r>
          <w:rPr/>
          <w:t>Tabla</w:t>
        </w:r>
        <w:r>
          <w:rPr>
            <w:spacing w:val="-2"/>
          </w:rPr>
          <w:t> </w:t>
        </w:r>
        <w:r>
          <w:rPr/>
          <w:t>8.</w:t>
        </w:r>
      </w:hyperlink>
      <w:r>
        <w:rPr>
          <w:spacing w:val="-1"/>
        </w:rPr>
        <w:t> </w:t>
      </w:r>
      <w:r>
        <w:rPr/>
        <w:t>Estadísticos</w:t>
      </w:r>
      <w:r>
        <w:rPr>
          <w:spacing w:val="-1"/>
        </w:rPr>
        <w:t> </w:t>
      </w:r>
      <w:r>
        <w:rPr/>
        <w:t>de</w:t>
      </w:r>
      <w:r>
        <w:rPr>
          <w:spacing w:val="-2"/>
        </w:rPr>
        <w:t> </w:t>
      </w:r>
      <w:r>
        <w:rPr/>
        <w:t>prueba</w:t>
      </w:r>
      <w:r>
        <w:rPr>
          <w:spacing w:val="-1"/>
        </w:rPr>
        <w:t> </w:t>
      </w:r>
      <w:r>
        <w:rPr/>
        <w:t>de</w:t>
      </w:r>
      <w:r>
        <w:rPr>
          <w:spacing w:val="-3"/>
        </w:rPr>
        <w:t> </w:t>
      </w:r>
      <w:r>
        <w:rPr/>
        <w:t>regresión</w:t>
      </w:r>
      <w:r>
        <w:rPr>
          <w:spacing w:val="-1"/>
        </w:rPr>
        <w:t> </w:t>
      </w:r>
      <w:r>
        <w:rPr/>
        <w:t>multinomialObjetivo</w:t>
      </w:r>
      <w:r>
        <w:rPr>
          <w:spacing w:val="-1"/>
        </w:rPr>
        <w:t> </w:t>
      </w:r>
      <w:r>
        <w:rPr>
          <w:spacing w:val="-2"/>
        </w:rPr>
        <w:t>general</w:t>
      </w:r>
      <w:r>
        <w:rPr/>
        <w:tab/>
      </w:r>
      <w:r>
        <w:rPr>
          <w:spacing w:val="-5"/>
        </w:rPr>
        <w:t>59</w:t>
      </w:r>
    </w:p>
    <w:p>
      <w:pPr>
        <w:pStyle w:val="BodyText"/>
        <w:spacing w:before="100"/>
      </w:pPr>
    </w:p>
    <w:p>
      <w:pPr>
        <w:pStyle w:val="BodyText"/>
        <w:tabs>
          <w:tab w:pos="8692" w:val="left" w:leader="dot"/>
        </w:tabs>
        <w:ind w:left="143"/>
      </w:pPr>
      <w:hyperlink w:history="true" w:anchor="_bookmark38">
        <w:r>
          <w:rPr/>
          <w:t>Tabla</w:t>
        </w:r>
        <w:r>
          <w:rPr>
            <w:spacing w:val="-5"/>
          </w:rPr>
          <w:t> </w:t>
        </w:r>
        <w:r>
          <w:rPr/>
          <w:t>9.</w:t>
        </w:r>
      </w:hyperlink>
      <w:r>
        <w:rPr>
          <w:spacing w:val="-1"/>
        </w:rPr>
        <w:t> </w:t>
      </w:r>
      <w:hyperlink w:history="true" w:anchor="_bookmark39">
        <w:r>
          <w:rPr/>
          <w:t>Estadísticos</w:t>
        </w:r>
        <w:r>
          <w:rPr>
            <w:spacing w:val="-1"/>
          </w:rPr>
          <w:t> </w:t>
        </w:r>
        <w:r>
          <w:rPr/>
          <w:t>de</w:t>
        </w:r>
        <w:r>
          <w:rPr>
            <w:spacing w:val="-2"/>
          </w:rPr>
          <w:t> </w:t>
        </w:r>
        <w:r>
          <w:rPr/>
          <w:t>prueba</w:t>
        </w:r>
        <w:r>
          <w:rPr>
            <w:spacing w:val="-1"/>
          </w:rPr>
          <w:t> </w:t>
        </w:r>
        <w:r>
          <w:rPr/>
          <w:t>de</w:t>
        </w:r>
        <w:r>
          <w:rPr>
            <w:spacing w:val="-3"/>
          </w:rPr>
          <w:t> </w:t>
        </w:r>
        <w:r>
          <w:rPr/>
          <w:t>regresión</w:t>
        </w:r>
        <w:r>
          <w:rPr>
            <w:spacing w:val="-2"/>
          </w:rPr>
          <w:t> </w:t>
        </w:r>
        <w:r>
          <w:rPr/>
          <w:t>multinomial Objetivo</w:t>
        </w:r>
        <w:r>
          <w:rPr>
            <w:spacing w:val="-1"/>
          </w:rPr>
          <w:t> </w:t>
        </w:r>
        <w:r>
          <w:rPr/>
          <w:t>especifico</w:t>
        </w:r>
        <w:r>
          <w:rPr>
            <w:spacing w:val="-1"/>
          </w:rPr>
          <w:t> </w:t>
        </w:r>
        <w:r>
          <w:rPr>
            <w:spacing w:val="-10"/>
          </w:rPr>
          <w:t>1</w:t>
        </w:r>
        <w:r>
          <w:rPr/>
          <w:tab/>
        </w:r>
        <w:r>
          <w:rPr>
            <w:spacing w:val="-5"/>
          </w:rPr>
          <w:t>37</w:t>
        </w:r>
      </w:hyperlink>
    </w:p>
    <w:p>
      <w:pPr>
        <w:pStyle w:val="BodyText"/>
        <w:spacing w:before="100"/>
      </w:pPr>
    </w:p>
    <w:p>
      <w:pPr>
        <w:pStyle w:val="BodyText"/>
        <w:tabs>
          <w:tab w:pos="8692" w:val="left" w:leader="dot"/>
        </w:tabs>
        <w:spacing w:before="1"/>
        <w:ind w:left="143"/>
      </w:pPr>
      <w:hyperlink w:history="true" w:anchor="_bookmark55">
        <w:r>
          <w:rPr/>
          <w:t>Tabla</w:t>
        </w:r>
        <w:r>
          <w:rPr>
            <w:spacing w:val="-5"/>
          </w:rPr>
          <w:t> </w:t>
        </w:r>
        <w:r>
          <w:rPr/>
          <w:t>10.</w:t>
        </w:r>
      </w:hyperlink>
      <w:r>
        <w:rPr>
          <w:spacing w:val="-1"/>
        </w:rPr>
        <w:t> </w:t>
      </w:r>
      <w:hyperlink w:history="true" w:anchor="_bookmark56">
        <w:r>
          <w:rPr/>
          <w:t>Estadísticos</w:t>
        </w:r>
        <w:r>
          <w:rPr>
            <w:spacing w:val="-1"/>
          </w:rPr>
          <w:t> </w:t>
        </w:r>
        <w:r>
          <w:rPr/>
          <w:t>de</w:t>
        </w:r>
        <w:r>
          <w:rPr>
            <w:spacing w:val="-2"/>
          </w:rPr>
          <w:t> </w:t>
        </w:r>
        <w:r>
          <w:rPr/>
          <w:t>prueba</w:t>
        </w:r>
        <w:r>
          <w:rPr>
            <w:spacing w:val="-2"/>
          </w:rPr>
          <w:t> </w:t>
        </w:r>
        <w:r>
          <w:rPr/>
          <w:t>de</w:t>
        </w:r>
        <w:r>
          <w:rPr>
            <w:spacing w:val="-1"/>
          </w:rPr>
          <w:t> </w:t>
        </w:r>
        <w:r>
          <w:rPr/>
          <w:t>regresión</w:t>
        </w:r>
        <w:r>
          <w:rPr>
            <w:spacing w:val="-2"/>
          </w:rPr>
          <w:t> </w:t>
        </w:r>
        <w:r>
          <w:rPr/>
          <w:t>multinomial Objetivo</w:t>
        </w:r>
        <w:r>
          <w:rPr>
            <w:spacing w:val="-1"/>
          </w:rPr>
          <w:t> </w:t>
        </w:r>
        <w:r>
          <w:rPr/>
          <w:t>especifico</w:t>
        </w:r>
        <w:r>
          <w:rPr>
            <w:spacing w:val="-1"/>
          </w:rPr>
          <w:t> </w:t>
        </w:r>
        <w:r>
          <w:rPr>
            <w:spacing w:val="-10"/>
          </w:rPr>
          <w:t>2</w:t>
        </w:r>
        <w:r>
          <w:rPr/>
          <w:tab/>
        </w:r>
        <w:r>
          <w:rPr>
            <w:spacing w:val="-5"/>
          </w:rPr>
          <w:t>42</w:t>
        </w:r>
      </w:hyperlink>
    </w:p>
    <w:p>
      <w:pPr>
        <w:pStyle w:val="BodyText"/>
        <w:spacing w:before="99"/>
      </w:pPr>
    </w:p>
    <w:p>
      <w:pPr>
        <w:pStyle w:val="BodyText"/>
        <w:tabs>
          <w:tab w:pos="8692" w:val="left" w:leader="dot"/>
        </w:tabs>
        <w:spacing w:before="1"/>
        <w:ind w:left="143"/>
      </w:pPr>
      <w:hyperlink w:history="true" w:anchor="_bookmark60">
        <w:r>
          <w:rPr/>
          <w:t>Tabla</w:t>
        </w:r>
        <w:r>
          <w:rPr>
            <w:spacing w:val="-5"/>
          </w:rPr>
          <w:t> </w:t>
        </w:r>
        <w:r>
          <w:rPr/>
          <w:t>11.</w:t>
        </w:r>
      </w:hyperlink>
      <w:r>
        <w:rPr>
          <w:spacing w:val="-1"/>
        </w:rPr>
        <w:t> </w:t>
      </w:r>
      <w:hyperlink w:history="true" w:anchor="_bookmark61">
        <w:r>
          <w:rPr/>
          <w:t>Estadísticos</w:t>
        </w:r>
        <w:r>
          <w:rPr>
            <w:spacing w:val="-1"/>
          </w:rPr>
          <w:t> </w:t>
        </w:r>
        <w:r>
          <w:rPr/>
          <w:t>de</w:t>
        </w:r>
        <w:r>
          <w:rPr>
            <w:spacing w:val="-2"/>
          </w:rPr>
          <w:t> </w:t>
        </w:r>
        <w:r>
          <w:rPr/>
          <w:t>prueba</w:t>
        </w:r>
        <w:r>
          <w:rPr>
            <w:spacing w:val="-2"/>
          </w:rPr>
          <w:t> </w:t>
        </w:r>
        <w:r>
          <w:rPr/>
          <w:t>de</w:t>
        </w:r>
        <w:r>
          <w:rPr>
            <w:spacing w:val="-1"/>
          </w:rPr>
          <w:t> </w:t>
        </w:r>
        <w:r>
          <w:rPr/>
          <w:t>regresión</w:t>
        </w:r>
        <w:r>
          <w:rPr>
            <w:spacing w:val="-2"/>
          </w:rPr>
          <w:t> </w:t>
        </w:r>
        <w:r>
          <w:rPr/>
          <w:t>multinomial Objetivo</w:t>
        </w:r>
        <w:r>
          <w:rPr>
            <w:spacing w:val="-1"/>
          </w:rPr>
          <w:t> </w:t>
        </w:r>
        <w:r>
          <w:rPr/>
          <w:t>especifico</w:t>
        </w:r>
        <w:r>
          <w:rPr>
            <w:spacing w:val="-1"/>
          </w:rPr>
          <w:t> </w:t>
        </w:r>
        <w:r>
          <w:rPr>
            <w:spacing w:val="-10"/>
          </w:rPr>
          <w:t>3</w:t>
        </w:r>
        <w:r>
          <w:rPr/>
          <w:tab/>
        </w:r>
        <w:r>
          <w:rPr>
            <w:spacing w:val="-5"/>
          </w:rPr>
          <w:t>44</w:t>
        </w:r>
      </w:hyperlink>
    </w:p>
    <w:p>
      <w:pPr>
        <w:pStyle w:val="BodyText"/>
        <w:spacing w:after="0"/>
        <w:sectPr>
          <w:headerReference w:type="default" r:id="rId20"/>
          <w:footerReference w:type="default" r:id="rId21"/>
          <w:pgSz w:w="11910" w:h="16840"/>
          <w:pgMar w:header="0" w:footer="693" w:top="1340" w:bottom="880" w:left="1559" w:right="425"/>
        </w:sectPr>
      </w:pPr>
    </w:p>
    <w:p>
      <w:pPr>
        <w:pStyle w:val="Heading2"/>
        <w:spacing w:before="66"/>
        <w:ind w:right="842"/>
      </w:pPr>
      <w:bookmarkStart w:name="_bookmark4" w:id="5"/>
      <w:bookmarkEnd w:id="5"/>
      <w:r>
        <w:rPr>
          <w:b w:val="0"/>
        </w:rPr>
      </w:r>
      <w:r>
        <w:rPr>
          <w:spacing w:val="-2"/>
        </w:rPr>
        <w:t>RESUMEN</w:t>
      </w:r>
    </w:p>
    <w:p>
      <w:pPr>
        <w:pStyle w:val="BodyText"/>
        <w:spacing w:before="120"/>
        <w:rPr>
          <w:b/>
        </w:rPr>
      </w:pPr>
    </w:p>
    <w:p>
      <w:pPr>
        <w:pStyle w:val="BodyText"/>
        <w:spacing w:line="480" w:lineRule="auto"/>
        <w:ind w:left="143" w:right="989" w:firstLine="779"/>
        <w:jc w:val="both"/>
      </w:pPr>
      <w:r>
        <w:rPr/>
        <w:t>El presente estudio tuvo como objetivo determinar la influencia del Impuesto General</w:t>
      </w:r>
      <w:r>
        <w:rPr>
          <w:spacing w:val="-8"/>
        </w:rPr>
        <w:t> </w:t>
      </w:r>
      <w:r>
        <w:rPr/>
        <w:t>de</w:t>
      </w:r>
      <w:r>
        <w:rPr>
          <w:spacing w:val="-8"/>
        </w:rPr>
        <w:t> </w:t>
      </w:r>
      <w:r>
        <w:rPr/>
        <w:t>las</w:t>
      </w:r>
      <w:r>
        <w:rPr>
          <w:spacing w:val="-7"/>
        </w:rPr>
        <w:t> </w:t>
      </w:r>
      <w:r>
        <w:rPr/>
        <w:t>Ventas</w:t>
      </w:r>
      <w:r>
        <w:rPr>
          <w:spacing w:val="-7"/>
        </w:rPr>
        <w:t> </w:t>
      </w:r>
      <w:r>
        <w:rPr/>
        <w:t>en</w:t>
      </w:r>
      <w:r>
        <w:rPr>
          <w:spacing w:val="-8"/>
        </w:rPr>
        <w:t> </w:t>
      </w:r>
      <w:r>
        <w:rPr/>
        <w:t>la</w:t>
      </w:r>
      <w:r>
        <w:rPr>
          <w:spacing w:val="-9"/>
        </w:rPr>
        <w:t> </w:t>
      </w:r>
      <w:r>
        <w:rPr/>
        <w:t>percepción</w:t>
      </w:r>
      <w:r>
        <w:rPr>
          <w:spacing w:val="-8"/>
        </w:rPr>
        <w:t> </w:t>
      </w:r>
      <w:r>
        <w:rPr/>
        <w:t>económica</w:t>
      </w:r>
      <w:r>
        <w:rPr>
          <w:spacing w:val="-8"/>
        </w:rPr>
        <w:t> </w:t>
      </w:r>
      <w:r>
        <w:rPr/>
        <w:t>de</w:t>
      </w:r>
      <w:r>
        <w:rPr>
          <w:spacing w:val="-8"/>
        </w:rPr>
        <w:t> </w:t>
      </w:r>
      <w:r>
        <w:rPr/>
        <w:t>los</w:t>
      </w:r>
      <w:r>
        <w:rPr>
          <w:spacing w:val="-7"/>
        </w:rPr>
        <w:t> </w:t>
      </w:r>
      <w:r>
        <w:rPr/>
        <w:t>comerciantes</w:t>
      </w:r>
      <w:r>
        <w:rPr>
          <w:spacing w:val="-7"/>
        </w:rPr>
        <w:t> </w:t>
      </w:r>
      <w:r>
        <w:rPr/>
        <w:t>del</w:t>
      </w:r>
      <w:r>
        <w:rPr>
          <w:spacing w:val="-7"/>
        </w:rPr>
        <w:t> </w:t>
      </w:r>
      <w:r>
        <w:rPr/>
        <w:t>centro</w:t>
      </w:r>
      <w:r>
        <w:rPr>
          <w:spacing w:val="-7"/>
        </w:rPr>
        <w:t> </w:t>
      </w:r>
      <w:r>
        <w:rPr/>
        <w:t>de</w:t>
      </w:r>
      <w:r>
        <w:rPr>
          <w:spacing w:val="-6"/>
        </w:rPr>
        <w:t> </w:t>
      </w:r>
      <w:r>
        <w:rPr/>
        <w:t>abastos Las Mercedes de Juliaca, 2023. Se adoptó un enfoque cuantitativo con un diseño no experimental de corte transversal, utilizando el método deductivo para el análisis de datos. La</w:t>
      </w:r>
      <w:r>
        <w:rPr>
          <w:spacing w:val="-12"/>
        </w:rPr>
        <w:t> </w:t>
      </w:r>
      <w:r>
        <w:rPr/>
        <w:t>recolección</w:t>
      </w:r>
      <w:r>
        <w:rPr>
          <w:spacing w:val="-10"/>
        </w:rPr>
        <w:t> </w:t>
      </w:r>
      <w:r>
        <w:rPr/>
        <w:t>se</w:t>
      </w:r>
      <w:r>
        <w:rPr>
          <w:spacing w:val="-11"/>
        </w:rPr>
        <w:t> </w:t>
      </w:r>
      <w:r>
        <w:rPr/>
        <w:t>realizó</w:t>
      </w:r>
      <w:r>
        <w:rPr>
          <w:spacing w:val="-10"/>
        </w:rPr>
        <w:t> </w:t>
      </w:r>
      <w:r>
        <w:rPr/>
        <w:t>mediante</w:t>
      </w:r>
      <w:r>
        <w:rPr>
          <w:spacing w:val="-10"/>
        </w:rPr>
        <w:t> </w:t>
      </w:r>
      <w:r>
        <w:rPr/>
        <w:t>encuestas</w:t>
      </w:r>
      <w:r>
        <w:rPr>
          <w:spacing w:val="-11"/>
        </w:rPr>
        <w:t> </w:t>
      </w:r>
      <w:r>
        <w:rPr/>
        <w:t>y</w:t>
      </w:r>
      <w:r>
        <w:rPr>
          <w:spacing w:val="-10"/>
        </w:rPr>
        <w:t> </w:t>
      </w:r>
      <w:r>
        <w:rPr/>
        <w:t>cuestionarios</w:t>
      </w:r>
      <w:r>
        <w:rPr>
          <w:spacing w:val="-9"/>
        </w:rPr>
        <w:t> </w:t>
      </w:r>
      <w:r>
        <w:rPr/>
        <w:t>aplicados</w:t>
      </w:r>
      <w:r>
        <w:rPr>
          <w:spacing w:val="-10"/>
        </w:rPr>
        <w:t> </w:t>
      </w:r>
      <w:r>
        <w:rPr/>
        <w:t>a</w:t>
      </w:r>
      <w:r>
        <w:rPr>
          <w:spacing w:val="-10"/>
        </w:rPr>
        <w:t> </w:t>
      </w:r>
      <w:r>
        <w:rPr/>
        <w:t>una</w:t>
      </w:r>
      <w:r>
        <w:rPr>
          <w:spacing w:val="-10"/>
        </w:rPr>
        <w:t> </w:t>
      </w:r>
      <w:r>
        <w:rPr/>
        <w:t>muestra</w:t>
      </w:r>
      <w:r>
        <w:rPr>
          <w:spacing w:val="-11"/>
        </w:rPr>
        <w:t> </w:t>
      </w:r>
      <w:r>
        <w:rPr/>
        <w:t>de</w:t>
      </w:r>
      <w:r>
        <w:rPr>
          <w:spacing w:val="-11"/>
        </w:rPr>
        <w:t> </w:t>
      </w:r>
      <w:r>
        <w:rPr/>
        <w:t>174 comerciantes, seleccionados de una población total de 318. Los datos fueron analizados utilizando el software SPSS, revelando una alta consistencia interna en las variables estudiadas, con valores de Alfa de Cronbach de 0,942 y 0,944, lo que indica una confiabilidad adecuada de los instrumentos de medición. Los resultados mostraron un coeficiente</w:t>
      </w:r>
      <w:r>
        <w:rPr>
          <w:spacing w:val="-14"/>
        </w:rPr>
        <w:t> </w:t>
      </w:r>
      <w:r>
        <w:rPr/>
        <w:t>de</w:t>
      </w:r>
      <w:r>
        <w:rPr>
          <w:spacing w:val="-14"/>
        </w:rPr>
        <w:t> </w:t>
      </w:r>
      <w:r>
        <w:rPr/>
        <w:t>determinación</w:t>
      </w:r>
      <w:r>
        <w:rPr>
          <w:spacing w:val="-14"/>
        </w:rPr>
        <w:t> </w:t>
      </w:r>
      <w:r>
        <w:rPr/>
        <w:t>(R²)</w:t>
      </w:r>
      <w:r>
        <w:rPr>
          <w:spacing w:val="-13"/>
        </w:rPr>
        <w:t> </w:t>
      </w:r>
      <w:r>
        <w:rPr/>
        <w:t>de</w:t>
      </w:r>
      <w:r>
        <w:rPr>
          <w:spacing w:val="-14"/>
        </w:rPr>
        <w:t> </w:t>
      </w:r>
      <w:r>
        <w:rPr/>
        <w:t>0.537,</w:t>
      </w:r>
      <w:r>
        <w:rPr>
          <w:spacing w:val="-14"/>
        </w:rPr>
        <w:t> </w:t>
      </w:r>
      <w:r>
        <w:rPr/>
        <w:t>indicando</w:t>
      </w:r>
      <w:r>
        <w:rPr>
          <w:spacing w:val="-14"/>
        </w:rPr>
        <w:t> </w:t>
      </w:r>
      <w:r>
        <w:rPr/>
        <w:t>que</w:t>
      </w:r>
      <w:r>
        <w:rPr>
          <w:spacing w:val="-14"/>
        </w:rPr>
        <w:t> </w:t>
      </w:r>
      <w:r>
        <w:rPr/>
        <w:t>el</w:t>
      </w:r>
      <w:r>
        <w:rPr>
          <w:spacing w:val="-15"/>
        </w:rPr>
        <w:t> </w:t>
      </w:r>
      <w:r>
        <w:rPr/>
        <w:t>Impuesto</w:t>
      </w:r>
      <w:r>
        <w:rPr>
          <w:spacing w:val="-14"/>
        </w:rPr>
        <w:t> </w:t>
      </w:r>
      <w:r>
        <w:rPr/>
        <w:t>General</w:t>
      </w:r>
      <w:r>
        <w:rPr>
          <w:spacing w:val="-14"/>
        </w:rPr>
        <w:t> </w:t>
      </w:r>
      <w:r>
        <w:rPr/>
        <w:t>de</w:t>
      </w:r>
      <w:r>
        <w:rPr>
          <w:spacing w:val="-14"/>
        </w:rPr>
        <w:t> </w:t>
      </w:r>
      <w:r>
        <w:rPr/>
        <w:t>las</w:t>
      </w:r>
      <w:r>
        <w:rPr>
          <w:spacing w:val="-13"/>
        </w:rPr>
        <w:t> </w:t>
      </w:r>
      <w:r>
        <w:rPr/>
        <w:t>Ventas explica el 53.7% de la variabilidad en la percepción económica de los comerciantes. Además,</w:t>
      </w:r>
      <w:r>
        <w:rPr>
          <w:spacing w:val="-4"/>
        </w:rPr>
        <w:t> </w:t>
      </w:r>
      <w:r>
        <w:rPr/>
        <w:t>el</w:t>
      </w:r>
      <w:r>
        <w:rPr>
          <w:spacing w:val="-4"/>
        </w:rPr>
        <w:t> </w:t>
      </w:r>
      <w:r>
        <w:rPr/>
        <w:t>análisis</w:t>
      </w:r>
      <w:r>
        <w:rPr>
          <w:spacing w:val="-4"/>
        </w:rPr>
        <w:t> </w:t>
      </w:r>
      <w:r>
        <w:rPr/>
        <w:t>de</w:t>
      </w:r>
      <w:r>
        <w:rPr>
          <w:spacing w:val="-5"/>
        </w:rPr>
        <w:t> </w:t>
      </w:r>
      <w:r>
        <w:rPr/>
        <w:t>varianza</w:t>
      </w:r>
      <w:r>
        <w:rPr>
          <w:spacing w:val="-3"/>
        </w:rPr>
        <w:t> </w:t>
      </w:r>
      <w:r>
        <w:rPr/>
        <w:t>(ANOVA)</w:t>
      </w:r>
      <w:r>
        <w:rPr>
          <w:spacing w:val="-5"/>
        </w:rPr>
        <w:t> </w:t>
      </w:r>
      <w:r>
        <w:rPr/>
        <w:t>reveló</w:t>
      </w:r>
      <w:r>
        <w:rPr>
          <w:spacing w:val="-3"/>
        </w:rPr>
        <w:t> </w:t>
      </w:r>
      <w:r>
        <w:rPr/>
        <w:t>un</w:t>
      </w:r>
      <w:r>
        <w:rPr>
          <w:spacing w:val="-4"/>
        </w:rPr>
        <w:t> </w:t>
      </w:r>
      <w:r>
        <w:rPr/>
        <w:t>valor</w:t>
      </w:r>
      <w:r>
        <w:rPr>
          <w:spacing w:val="80"/>
        </w:rPr>
        <w:t> </w:t>
      </w:r>
      <w:r>
        <w:rPr/>
        <w:t>y</w:t>
      </w:r>
      <w:r>
        <w:rPr>
          <w:spacing w:val="-1"/>
        </w:rPr>
        <w:t> </w:t>
      </w:r>
      <w:r>
        <w:rPr/>
        <w:t>una</w:t>
      </w:r>
      <w:r>
        <w:rPr>
          <w:spacing w:val="-5"/>
        </w:rPr>
        <w:t> </w:t>
      </w:r>
      <w:r>
        <w:rPr/>
        <w:t>significancia</w:t>
      </w:r>
      <w:r>
        <w:rPr>
          <w:spacing w:val="-6"/>
        </w:rPr>
        <w:t> </w:t>
      </w:r>
      <w:r>
        <w:rPr/>
        <w:t>de</w:t>
      </w:r>
      <w:r>
        <w:rPr>
          <w:spacing w:val="-2"/>
        </w:rPr>
        <w:t> </w:t>
      </w:r>
      <w:r>
        <w:rPr/>
        <w:t>0.000,</w:t>
      </w:r>
      <w:r>
        <w:rPr>
          <w:spacing w:val="-5"/>
        </w:rPr>
        <w:t> </w:t>
      </w:r>
      <w:r>
        <w:rPr/>
        <w:t>lo que</w:t>
      </w:r>
      <w:r>
        <w:rPr>
          <w:spacing w:val="-11"/>
        </w:rPr>
        <w:t> </w:t>
      </w:r>
      <w:r>
        <w:rPr/>
        <w:t>valida</w:t>
      </w:r>
      <w:r>
        <w:rPr>
          <w:spacing w:val="-11"/>
        </w:rPr>
        <w:t> </w:t>
      </w:r>
      <w:r>
        <w:rPr/>
        <w:t>el</w:t>
      </w:r>
      <w:r>
        <w:rPr>
          <w:spacing w:val="-10"/>
        </w:rPr>
        <w:t> </w:t>
      </w:r>
      <w:r>
        <w:rPr/>
        <w:t>modelo</w:t>
      </w:r>
      <w:r>
        <w:rPr>
          <w:spacing w:val="-9"/>
        </w:rPr>
        <w:t> </w:t>
      </w:r>
      <w:r>
        <w:rPr/>
        <w:t>de</w:t>
      </w:r>
      <w:r>
        <w:rPr>
          <w:spacing w:val="-10"/>
        </w:rPr>
        <w:t> </w:t>
      </w:r>
      <w:r>
        <w:rPr/>
        <w:t>regresión</w:t>
      </w:r>
      <w:r>
        <w:rPr>
          <w:spacing w:val="-11"/>
        </w:rPr>
        <w:t> </w:t>
      </w:r>
      <w:r>
        <w:rPr/>
        <w:t>lineal</w:t>
      </w:r>
      <w:r>
        <w:rPr>
          <w:spacing w:val="-11"/>
        </w:rPr>
        <w:t> </w:t>
      </w:r>
      <w:r>
        <w:rPr/>
        <w:t>utilizado</w:t>
      </w:r>
      <w:r>
        <w:rPr>
          <w:spacing w:val="-11"/>
        </w:rPr>
        <w:t> </w:t>
      </w:r>
      <w:r>
        <w:rPr/>
        <w:t>en</w:t>
      </w:r>
      <w:r>
        <w:rPr>
          <w:spacing w:val="-11"/>
        </w:rPr>
        <w:t> </w:t>
      </w:r>
      <w:r>
        <w:rPr/>
        <w:t>el</w:t>
      </w:r>
      <w:r>
        <w:rPr>
          <w:spacing w:val="-11"/>
        </w:rPr>
        <w:t> </w:t>
      </w:r>
      <w:r>
        <w:rPr/>
        <w:t>estudio.</w:t>
      </w:r>
      <w:r>
        <w:rPr>
          <w:spacing w:val="-9"/>
        </w:rPr>
        <w:t> </w:t>
      </w:r>
      <w:r>
        <w:rPr/>
        <w:t>Estos</w:t>
      </w:r>
      <w:r>
        <w:rPr>
          <w:spacing w:val="-10"/>
        </w:rPr>
        <w:t> </w:t>
      </w:r>
      <w:r>
        <w:rPr/>
        <w:t>hallazgos</w:t>
      </w:r>
      <w:r>
        <w:rPr>
          <w:spacing w:val="-10"/>
        </w:rPr>
        <w:t> </w:t>
      </w:r>
      <w:r>
        <w:rPr/>
        <w:t>sugieren</w:t>
      </w:r>
      <w:r>
        <w:rPr>
          <w:spacing w:val="-11"/>
        </w:rPr>
        <w:t> </w:t>
      </w:r>
      <w:r>
        <w:rPr/>
        <w:t>que la percepción económica de los comerciantes está significativamente influenciada por el IGV, lo que proporciona una base empírica para desarrollar estrategias que optimicen la gestión</w:t>
      </w:r>
      <w:r>
        <w:rPr>
          <w:spacing w:val="-9"/>
        </w:rPr>
        <w:t> </w:t>
      </w:r>
      <w:r>
        <w:rPr/>
        <w:t>del</w:t>
      </w:r>
      <w:r>
        <w:rPr>
          <w:spacing w:val="-11"/>
        </w:rPr>
        <w:t> </w:t>
      </w:r>
      <w:r>
        <w:rPr/>
        <w:t>impuesto</w:t>
      </w:r>
      <w:r>
        <w:rPr>
          <w:spacing w:val="-8"/>
        </w:rPr>
        <w:t> </w:t>
      </w:r>
      <w:r>
        <w:rPr/>
        <w:t>y</w:t>
      </w:r>
      <w:r>
        <w:rPr>
          <w:spacing w:val="-9"/>
        </w:rPr>
        <w:t> </w:t>
      </w:r>
      <w:r>
        <w:rPr/>
        <w:t>mejoren</w:t>
      </w:r>
      <w:r>
        <w:rPr>
          <w:spacing w:val="-10"/>
        </w:rPr>
        <w:t> </w:t>
      </w:r>
      <w:r>
        <w:rPr/>
        <w:t>las</w:t>
      </w:r>
      <w:r>
        <w:rPr>
          <w:spacing w:val="-9"/>
        </w:rPr>
        <w:t> </w:t>
      </w:r>
      <w:r>
        <w:rPr/>
        <w:t>condiciones</w:t>
      </w:r>
      <w:r>
        <w:rPr>
          <w:spacing w:val="-9"/>
        </w:rPr>
        <w:t> </w:t>
      </w:r>
      <w:r>
        <w:rPr/>
        <w:t>económicas</w:t>
      </w:r>
      <w:r>
        <w:rPr>
          <w:spacing w:val="-9"/>
        </w:rPr>
        <w:t> </w:t>
      </w:r>
      <w:r>
        <w:rPr/>
        <w:t>de</w:t>
      </w:r>
      <w:r>
        <w:rPr>
          <w:spacing w:val="-10"/>
        </w:rPr>
        <w:t> </w:t>
      </w:r>
      <w:r>
        <w:rPr/>
        <w:t>los</w:t>
      </w:r>
      <w:r>
        <w:rPr>
          <w:spacing w:val="-9"/>
        </w:rPr>
        <w:t> </w:t>
      </w:r>
      <w:r>
        <w:rPr/>
        <w:t>comerciantes</w:t>
      </w:r>
      <w:r>
        <w:rPr>
          <w:spacing w:val="-9"/>
        </w:rPr>
        <w:t> </w:t>
      </w:r>
      <w:r>
        <w:rPr/>
        <w:t>en</w:t>
      </w:r>
      <w:r>
        <w:rPr>
          <w:spacing w:val="-10"/>
        </w:rPr>
        <w:t> </w:t>
      </w:r>
      <w:r>
        <w:rPr/>
        <w:t>el</w:t>
      </w:r>
      <w:r>
        <w:rPr>
          <w:spacing w:val="-9"/>
        </w:rPr>
        <w:t> </w:t>
      </w:r>
      <w:r>
        <w:rPr/>
        <w:t>centro de abastos Las Mercedes de Juliaca</w:t>
      </w:r>
    </w:p>
    <w:p>
      <w:pPr>
        <w:spacing w:before="2"/>
        <w:ind w:left="863" w:right="0" w:firstLine="0"/>
        <w:jc w:val="both"/>
        <w:rPr>
          <w:sz w:val="24"/>
        </w:rPr>
      </w:pPr>
      <w:r>
        <w:rPr>
          <w:b/>
          <w:i/>
          <w:sz w:val="24"/>
        </w:rPr>
        <w:t>Palabras</w:t>
      </w:r>
      <w:r>
        <w:rPr>
          <w:b/>
          <w:i/>
          <w:spacing w:val="-2"/>
          <w:sz w:val="24"/>
        </w:rPr>
        <w:t> </w:t>
      </w:r>
      <w:r>
        <w:rPr>
          <w:b/>
          <w:i/>
          <w:sz w:val="24"/>
        </w:rPr>
        <w:t>clave</w:t>
      </w:r>
      <w:r>
        <w:rPr>
          <w:sz w:val="24"/>
        </w:rPr>
        <w:t>:</w:t>
      </w:r>
      <w:r>
        <w:rPr>
          <w:spacing w:val="57"/>
          <w:sz w:val="24"/>
        </w:rPr>
        <w:t> </w:t>
      </w:r>
      <w:r>
        <w:rPr>
          <w:sz w:val="24"/>
        </w:rPr>
        <w:t>Comercio,</w:t>
      </w:r>
      <w:r>
        <w:rPr>
          <w:spacing w:val="-1"/>
          <w:sz w:val="24"/>
        </w:rPr>
        <w:t> </w:t>
      </w:r>
      <w:r>
        <w:rPr>
          <w:sz w:val="24"/>
        </w:rPr>
        <w:t>economía,</w:t>
      </w:r>
      <w:r>
        <w:rPr>
          <w:spacing w:val="-1"/>
          <w:sz w:val="24"/>
        </w:rPr>
        <w:t> </w:t>
      </w:r>
      <w:r>
        <w:rPr>
          <w:spacing w:val="-2"/>
          <w:sz w:val="24"/>
        </w:rPr>
        <w:t>gestión.</w:t>
      </w:r>
    </w:p>
    <w:p>
      <w:pPr>
        <w:spacing w:after="0"/>
        <w:jc w:val="both"/>
        <w:rPr>
          <w:sz w:val="24"/>
        </w:rPr>
        <w:sectPr>
          <w:headerReference w:type="default" r:id="rId22"/>
          <w:footerReference w:type="default" r:id="rId23"/>
          <w:pgSz w:w="11910" w:h="16840"/>
          <w:pgMar w:header="0" w:footer="693" w:top="1340" w:bottom="880" w:left="1559" w:right="425"/>
        </w:sectPr>
      </w:pPr>
    </w:p>
    <w:p>
      <w:pPr>
        <w:pStyle w:val="Heading2"/>
        <w:spacing w:before="66"/>
        <w:ind w:left="0" w:right="845"/>
      </w:pPr>
      <w:bookmarkStart w:name="_bookmark5" w:id="6"/>
      <w:bookmarkEnd w:id="6"/>
      <w:r>
        <w:rPr>
          <w:b w:val="0"/>
        </w:rPr>
      </w:r>
      <w:r>
        <w:rPr>
          <w:spacing w:val="-2"/>
        </w:rPr>
        <w:t>ABSTRACT</w:t>
      </w:r>
    </w:p>
    <w:p>
      <w:pPr>
        <w:pStyle w:val="BodyText"/>
        <w:spacing w:before="120"/>
        <w:rPr>
          <w:b/>
        </w:rPr>
      </w:pPr>
    </w:p>
    <w:p>
      <w:pPr>
        <w:pStyle w:val="BodyText"/>
        <w:spacing w:line="480" w:lineRule="auto"/>
        <w:ind w:left="143" w:right="988" w:firstLine="779"/>
        <w:jc w:val="both"/>
      </w:pPr>
      <w:r>
        <w:rPr/>
        <w:t>The</w:t>
      </w:r>
      <w:r>
        <w:rPr>
          <w:spacing w:val="-4"/>
        </w:rPr>
        <w:t> </w:t>
      </w:r>
      <w:r>
        <w:rPr/>
        <w:t>objective</w:t>
      </w:r>
      <w:r>
        <w:rPr>
          <w:spacing w:val="-3"/>
        </w:rPr>
        <w:t> </w:t>
      </w:r>
      <w:r>
        <w:rPr/>
        <w:t>of</w:t>
      </w:r>
      <w:r>
        <w:rPr>
          <w:spacing w:val="-2"/>
        </w:rPr>
        <w:t> </w:t>
      </w:r>
      <w:r>
        <w:rPr/>
        <w:t>this</w:t>
      </w:r>
      <w:r>
        <w:rPr>
          <w:spacing w:val="-2"/>
        </w:rPr>
        <w:t> </w:t>
      </w:r>
      <w:r>
        <w:rPr/>
        <w:t>study</w:t>
      </w:r>
      <w:r>
        <w:rPr>
          <w:spacing w:val="-3"/>
        </w:rPr>
        <w:t> </w:t>
      </w:r>
      <w:r>
        <w:rPr/>
        <w:t>was</w:t>
      </w:r>
      <w:r>
        <w:rPr>
          <w:spacing w:val="-3"/>
        </w:rPr>
        <w:t> </w:t>
      </w:r>
      <w:r>
        <w:rPr/>
        <w:t>to</w:t>
      </w:r>
      <w:r>
        <w:rPr>
          <w:spacing w:val="-3"/>
        </w:rPr>
        <w:t> </w:t>
      </w:r>
      <w:r>
        <w:rPr/>
        <w:t>determine</w:t>
      </w:r>
      <w:r>
        <w:rPr>
          <w:spacing w:val="-3"/>
        </w:rPr>
        <w:t> </w:t>
      </w:r>
      <w:r>
        <w:rPr/>
        <w:t>the</w:t>
      </w:r>
      <w:r>
        <w:rPr>
          <w:spacing w:val="-3"/>
        </w:rPr>
        <w:t> </w:t>
      </w:r>
      <w:r>
        <w:rPr/>
        <w:t>influence</w:t>
      </w:r>
      <w:r>
        <w:rPr>
          <w:spacing w:val="-2"/>
        </w:rPr>
        <w:t> </w:t>
      </w:r>
      <w:r>
        <w:rPr/>
        <w:t>of</w:t>
      </w:r>
      <w:r>
        <w:rPr>
          <w:spacing w:val="-3"/>
        </w:rPr>
        <w:t> </w:t>
      </w:r>
      <w:r>
        <w:rPr/>
        <w:t>the</w:t>
      </w:r>
      <w:r>
        <w:rPr>
          <w:spacing w:val="-3"/>
        </w:rPr>
        <w:t> </w:t>
      </w:r>
      <w:r>
        <w:rPr/>
        <w:t>General Sales</w:t>
      </w:r>
      <w:r>
        <w:rPr>
          <w:spacing w:val="-2"/>
        </w:rPr>
        <w:t> </w:t>
      </w:r>
      <w:r>
        <w:rPr/>
        <w:t>Tax on</w:t>
      </w:r>
      <w:r>
        <w:rPr>
          <w:spacing w:val="-1"/>
        </w:rPr>
        <w:t> </w:t>
      </w:r>
      <w:r>
        <w:rPr/>
        <w:t>the economic</w:t>
      </w:r>
      <w:r>
        <w:rPr>
          <w:spacing w:val="-1"/>
        </w:rPr>
        <w:t> </w:t>
      </w:r>
      <w:r>
        <w:rPr/>
        <w:t>perception of</w:t>
      </w:r>
      <w:r>
        <w:rPr>
          <w:spacing w:val="-1"/>
        </w:rPr>
        <w:t> </w:t>
      </w:r>
      <w:r>
        <w:rPr/>
        <w:t>the merchants of</w:t>
      </w:r>
      <w:r>
        <w:rPr>
          <w:spacing w:val="-1"/>
        </w:rPr>
        <w:t> </w:t>
      </w:r>
      <w:r>
        <w:rPr/>
        <w:t>the</w:t>
      </w:r>
      <w:r>
        <w:rPr>
          <w:spacing w:val="-1"/>
        </w:rPr>
        <w:t> </w:t>
      </w:r>
      <w:r>
        <w:rPr/>
        <w:t>Las Mercedes de</w:t>
      </w:r>
      <w:r>
        <w:rPr>
          <w:spacing w:val="-1"/>
        </w:rPr>
        <w:t> </w:t>
      </w:r>
      <w:r>
        <w:rPr/>
        <w:t>Juliaca supply</w:t>
      </w:r>
      <w:r>
        <w:rPr>
          <w:spacing w:val="-1"/>
        </w:rPr>
        <w:t> </w:t>
      </w:r>
      <w:r>
        <w:rPr/>
        <w:t>center, 2023.</w:t>
      </w:r>
      <w:r>
        <w:rPr>
          <w:spacing w:val="-5"/>
        </w:rPr>
        <w:t> </w:t>
      </w:r>
      <w:r>
        <w:rPr/>
        <w:t>A</w:t>
      </w:r>
      <w:r>
        <w:rPr>
          <w:spacing w:val="-5"/>
        </w:rPr>
        <w:t> </w:t>
      </w:r>
      <w:r>
        <w:rPr/>
        <w:t>quantitative</w:t>
      </w:r>
      <w:r>
        <w:rPr>
          <w:spacing w:val="-2"/>
        </w:rPr>
        <w:t> </w:t>
      </w:r>
      <w:r>
        <w:rPr/>
        <w:t>approach</w:t>
      </w:r>
      <w:r>
        <w:rPr>
          <w:spacing w:val="-6"/>
        </w:rPr>
        <w:t> </w:t>
      </w:r>
      <w:r>
        <w:rPr/>
        <w:t>was</w:t>
      </w:r>
      <w:r>
        <w:rPr>
          <w:spacing w:val="-3"/>
        </w:rPr>
        <w:t> </w:t>
      </w:r>
      <w:r>
        <w:rPr/>
        <w:t>adopted</w:t>
      </w:r>
      <w:r>
        <w:rPr>
          <w:spacing w:val="-5"/>
        </w:rPr>
        <w:t> </w:t>
      </w:r>
      <w:r>
        <w:rPr/>
        <w:t>with</w:t>
      </w:r>
      <w:r>
        <w:rPr>
          <w:spacing w:val="-3"/>
        </w:rPr>
        <w:t> </w:t>
      </w:r>
      <w:r>
        <w:rPr/>
        <w:t>a</w:t>
      </w:r>
      <w:r>
        <w:rPr>
          <w:spacing w:val="-6"/>
        </w:rPr>
        <w:t> </w:t>
      </w:r>
      <w:r>
        <w:rPr/>
        <w:t>non-experimental</w:t>
      </w:r>
      <w:r>
        <w:rPr>
          <w:spacing w:val="-6"/>
        </w:rPr>
        <w:t> </w:t>
      </w:r>
      <w:r>
        <w:rPr/>
        <w:t>cross-sectional</w:t>
      </w:r>
      <w:r>
        <w:rPr>
          <w:spacing w:val="-7"/>
        </w:rPr>
        <w:t> </w:t>
      </w:r>
      <w:r>
        <w:rPr/>
        <w:t>design, using</w:t>
      </w:r>
      <w:r>
        <w:rPr>
          <w:spacing w:val="-13"/>
        </w:rPr>
        <w:t> </w:t>
      </w:r>
      <w:r>
        <w:rPr/>
        <w:t>the</w:t>
      </w:r>
      <w:r>
        <w:rPr>
          <w:spacing w:val="-11"/>
        </w:rPr>
        <w:t> </w:t>
      </w:r>
      <w:r>
        <w:rPr/>
        <w:t>method</w:t>
      </w:r>
      <w:r>
        <w:rPr>
          <w:spacing w:val="-13"/>
        </w:rPr>
        <w:t> </w:t>
      </w:r>
      <w:r>
        <w:rPr/>
        <w:t>deductive</w:t>
      </w:r>
      <w:r>
        <w:rPr>
          <w:spacing w:val="-11"/>
        </w:rPr>
        <w:t> </w:t>
      </w:r>
      <w:r>
        <w:rPr/>
        <w:t>for</w:t>
      </w:r>
      <w:r>
        <w:rPr>
          <w:spacing w:val="-12"/>
        </w:rPr>
        <w:t> </w:t>
      </w:r>
      <w:r>
        <w:rPr/>
        <w:t>data</w:t>
      </w:r>
      <w:r>
        <w:rPr>
          <w:spacing w:val="-12"/>
        </w:rPr>
        <w:t> </w:t>
      </w:r>
      <w:r>
        <w:rPr/>
        <w:t>analysis.</w:t>
      </w:r>
      <w:r>
        <w:rPr>
          <w:spacing w:val="-13"/>
        </w:rPr>
        <w:t> </w:t>
      </w:r>
      <w:r>
        <w:rPr/>
        <w:t>The</w:t>
      </w:r>
      <w:r>
        <w:rPr>
          <w:spacing w:val="-12"/>
        </w:rPr>
        <w:t> </w:t>
      </w:r>
      <w:r>
        <w:rPr/>
        <w:t>collection</w:t>
      </w:r>
      <w:r>
        <w:rPr>
          <w:spacing w:val="-13"/>
        </w:rPr>
        <w:t> </w:t>
      </w:r>
      <w:r>
        <w:rPr/>
        <w:t>was</w:t>
      </w:r>
      <w:r>
        <w:rPr>
          <w:spacing w:val="-12"/>
        </w:rPr>
        <w:t> </w:t>
      </w:r>
      <w:r>
        <w:rPr/>
        <w:t>carried</w:t>
      </w:r>
      <w:r>
        <w:rPr>
          <w:spacing w:val="-11"/>
        </w:rPr>
        <w:t> </w:t>
      </w:r>
      <w:r>
        <w:rPr/>
        <w:t>out</w:t>
      </w:r>
      <w:r>
        <w:rPr>
          <w:spacing w:val="-12"/>
        </w:rPr>
        <w:t> </w:t>
      </w:r>
      <w:r>
        <w:rPr/>
        <w:t>through</w:t>
      </w:r>
      <w:r>
        <w:rPr>
          <w:spacing w:val="-10"/>
        </w:rPr>
        <w:t> </w:t>
      </w:r>
      <w:r>
        <w:rPr/>
        <w:t>surveys and</w:t>
      </w:r>
      <w:r>
        <w:rPr>
          <w:spacing w:val="-10"/>
        </w:rPr>
        <w:t> </w:t>
      </w:r>
      <w:r>
        <w:rPr/>
        <w:t>questionnaires</w:t>
      </w:r>
      <w:r>
        <w:rPr>
          <w:spacing w:val="-5"/>
        </w:rPr>
        <w:t> </w:t>
      </w:r>
      <w:r>
        <w:rPr/>
        <w:t>applied</w:t>
      </w:r>
      <w:r>
        <w:rPr>
          <w:spacing w:val="-6"/>
        </w:rPr>
        <w:t> </w:t>
      </w:r>
      <w:r>
        <w:rPr/>
        <w:t>to</w:t>
      </w:r>
      <w:r>
        <w:rPr>
          <w:spacing w:val="-6"/>
        </w:rPr>
        <w:t> </w:t>
      </w:r>
      <w:r>
        <w:rPr/>
        <w:t>a</w:t>
      </w:r>
      <w:r>
        <w:rPr>
          <w:spacing w:val="-8"/>
        </w:rPr>
        <w:t> </w:t>
      </w:r>
      <w:r>
        <w:rPr/>
        <w:t>sample</w:t>
      </w:r>
      <w:r>
        <w:rPr>
          <w:spacing w:val="-9"/>
        </w:rPr>
        <w:t> </w:t>
      </w:r>
      <w:r>
        <w:rPr/>
        <w:t>of</w:t>
      </w:r>
      <w:r>
        <w:rPr>
          <w:spacing w:val="-6"/>
        </w:rPr>
        <w:t> </w:t>
      </w:r>
      <w:r>
        <w:rPr/>
        <w:t>174</w:t>
      </w:r>
      <w:r>
        <w:rPr>
          <w:spacing w:val="-7"/>
        </w:rPr>
        <w:t> </w:t>
      </w:r>
      <w:r>
        <w:rPr/>
        <w:t>merchants,</w:t>
      </w:r>
      <w:r>
        <w:rPr>
          <w:spacing w:val="-5"/>
        </w:rPr>
        <w:t> </w:t>
      </w:r>
      <w:r>
        <w:rPr/>
        <w:t>selected</w:t>
      </w:r>
      <w:r>
        <w:rPr>
          <w:spacing w:val="-8"/>
        </w:rPr>
        <w:t> </w:t>
      </w:r>
      <w:r>
        <w:rPr/>
        <w:t>from</w:t>
      </w:r>
      <w:r>
        <w:rPr>
          <w:spacing w:val="-8"/>
        </w:rPr>
        <w:t> </w:t>
      </w:r>
      <w:r>
        <w:rPr/>
        <w:t>a</w:t>
      </w:r>
      <w:r>
        <w:rPr>
          <w:spacing w:val="-6"/>
        </w:rPr>
        <w:t> </w:t>
      </w:r>
      <w:r>
        <w:rPr/>
        <w:t>total</w:t>
      </w:r>
      <w:r>
        <w:rPr>
          <w:spacing w:val="-7"/>
        </w:rPr>
        <w:t> </w:t>
      </w:r>
      <w:r>
        <w:rPr/>
        <w:t>population</w:t>
      </w:r>
      <w:r>
        <w:rPr>
          <w:spacing w:val="-5"/>
        </w:rPr>
        <w:t> of</w:t>
      </w:r>
    </w:p>
    <w:p>
      <w:pPr>
        <w:pStyle w:val="BodyText"/>
        <w:spacing w:line="480" w:lineRule="auto" w:before="1"/>
        <w:ind w:left="143" w:right="992"/>
        <w:jc w:val="both"/>
      </w:pPr>
      <w:r>
        <w:rPr/>
        <w:t>466. The data were analyzed using SPSS software, revealing a high internal consistency in the variables studied, with Cronbach's Alpha values of 0.942 and 0.944, which indicates adequate reliability of the measurement instruments. The results showed a coefficient of determination (R²) of 0.537, indicating that the General Sales Tax explains 53.7% of the variability in the economic perception of merchants. Furthermore, the analysis of variance (ANOVA)</w:t>
      </w:r>
      <w:r>
        <w:rPr>
          <w:spacing w:val="-11"/>
        </w:rPr>
        <w:t> </w:t>
      </w:r>
      <w:r>
        <w:rPr/>
        <w:t>revealed</w:t>
      </w:r>
      <w:r>
        <w:rPr>
          <w:spacing w:val="-10"/>
        </w:rPr>
        <w:t> </w:t>
      </w:r>
      <w:r>
        <w:rPr/>
        <w:t>a</w:t>
      </w:r>
      <w:r>
        <w:rPr>
          <w:spacing w:val="-12"/>
        </w:rPr>
        <w:t> </w:t>
      </w:r>
      <w:r>
        <w:rPr/>
        <w:t>value</w:t>
      </w:r>
      <w:r>
        <w:rPr>
          <w:spacing w:val="-10"/>
        </w:rPr>
        <w:t> </w:t>
      </w:r>
      <w:r>
        <w:rPr/>
        <w:t>and</w:t>
      </w:r>
      <w:r>
        <w:rPr>
          <w:spacing w:val="-12"/>
        </w:rPr>
        <w:t> </w:t>
      </w:r>
      <w:r>
        <w:rPr/>
        <w:t>significance</w:t>
      </w:r>
      <w:r>
        <w:rPr>
          <w:spacing w:val="-13"/>
        </w:rPr>
        <w:t> </w:t>
      </w:r>
      <w:r>
        <w:rPr/>
        <w:t>of</w:t>
      </w:r>
      <w:r>
        <w:rPr>
          <w:spacing w:val="-11"/>
        </w:rPr>
        <w:t> </w:t>
      </w:r>
      <w:r>
        <w:rPr/>
        <w:t>0.000,</w:t>
      </w:r>
      <w:r>
        <w:rPr>
          <w:spacing w:val="-11"/>
        </w:rPr>
        <w:t> </w:t>
      </w:r>
      <w:r>
        <w:rPr/>
        <w:t>validating</w:t>
      </w:r>
      <w:r>
        <w:rPr>
          <w:spacing w:val="-11"/>
        </w:rPr>
        <w:t> </w:t>
      </w:r>
      <w:r>
        <w:rPr/>
        <w:t>the</w:t>
      </w:r>
      <w:r>
        <w:rPr>
          <w:spacing w:val="-12"/>
        </w:rPr>
        <w:t> </w:t>
      </w:r>
      <w:r>
        <w:rPr/>
        <w:t>linear</w:t>
      </w:r>
      <w:r>
        <w:rPr>
          <w:spacing w:val="-9"/>
        </w:rPr>
        <w:t> </w:t>
      </w:r>
      <w:r>
        <w:rPr/>
        <w:t>regression</w:t>
      </w:r>
      <w:r>
        <w:rPr>
          <w:spacing w:val="-11"/>
        </w:rPr>
        <w:t> </w:t>
      </w:r>
      <w:r>
        <w:rPr/>
        <w:t>model used in the study. These findings suggest that the economic perception of merchants is significantly</w:t>
      </w:r>
      <w:r>
        <w:rPr>
          <w:spacing w:val="-10"/>
        </w:rPr>
        <w:t> </w:t>
      </w:r>
      <w:r>
        <w:rPr/>
        <w:t>influenced</w:t>
      </w:r>
      <w:r>
        <w:rPr>
          <w:spacing w:val="-13"/>
        </w:rPr>
        <w:t> </w:t>
      </w:r>
      <w:r>
        <w:rPr/>
        <w:t>by</w:t>
      </w:r>
      <w:r>
        <w:rPr>
          <w:spacing w:val="-13"/>
        </w:rPr>
        <w:t> </w:t>
      </w:r>
      <w:r>
        <w:rPr/>
        <w:t>the</w:t>
      </w:r>
      <w:r>
        <w:rPr>
          <w:spacing w:val="-13"/>
        </w:rPr>
        <w:t> </w:t>
      </w:r>
      <w:r>
        <w:rPr/>
        <w:t>VAT,</w:t>
      </w:r>
      <w:r>
        <w:rPr>
          <w:spacing w:val="-13"/>
        </w:rPr>
        <w:t> </w:t>
      </w:r>
      <w:r>
        <w:rPr/>
        <w:t>which</w:t>
      </w:r>
      <w:r>
        <w:rPr>
          <w:spacing w:val="-13"/>
        </w:rPr>
        <w:t> </w:t>
      </w:r>
      <w:r>
        <w:rPr/>
        <w:t>provides</w:t>
      </w:r>
      <w:r>
        <w:rPr>
          <w:spacing w:val="-12"/>
        </w:rPr>
        <w:t> </w:t>
      </w:r>
      <w:r>
        <w:rPr/>
        <w:t>an</w:t>
      </w:r>
      <w:r>
        <w:rPr>
          <w:spacing w:val="-11"/>
        </w:rPr>
        <w:t> </w:t>
      </w:r>
      <w:r>
        <w:rPr/>
        <w:t>empirical</w:t>
      </w:r>
      <w:r>
        <w:rPr>
          <w:spacing w:val="-14"/>
        </w:rPr>
        <w:t> </w:t>
      </w:r>
      <w:r>
        <w:rPr/>
        <w:t>basis</w:t>
      </w:r>
      <w:r>
        <w:rPr>
          <w:spacing w:val="-13"/>
        </w:rPr>
        <w:t> </w:t>
      </w:r>
      <w:r>
        <w:rPr/>
        <w:t>to</w:t>
      </w:r>
      <w:r>
        <w:rPr>
          <w:spacing w:val="-13"/>
        </w:rPr>
        <w:t> </w:t>
      </w:r>
      <w:r>
        <w:rPr/>
        <w:t>develop</w:t>
      </w:r>
      <w:r>
        <w:rPr>
          <w:spacing w:val="-11"/>
        </w:rPr>
        <w:t> </w:t>
      </w:r>
      <w:r>
        <w:rPr/>
        <w:t>strategies that</w:t>
      </w:r>
      <w:r>
        <w:rPr>
          <w:spacing w:val="-9"/>
        </w:rPr>
        <w:t> </w:t>
      </w:r>
      <w:r>
        <w:rPr/>
        <w:t>optimize</w:t>
      </w:r>
      <w:r>
        <w:rPr>
          <w:spacing w:val="-8"/>
        </w:rPr>
        <w:t> </w:t>
      </w:r>
      <w:r>
        <w:rPr/>
        <w:t>the</w:t>
      </w:r>
      <w:r>
        <w:rPr>
          <w:spacing w:val="-8"/>
        </w:rPr>
        <w:t> </w:t>
      </w:r>
      <w:r>
        <w:rPr/>
        <w:t>management</w:t>
      </w:r>
      <w:r>
        <w:rPr>
          <w:spacing w:val="-9"/>
        </w:rPr>
        <w:t> </w:t>
      </w:r>
      <w:r>
        <w:rPr/>
        <w:t>of</w:t>
      </w:r>
      <w:r>
        <w:rPr>
          <w:spacing w:val="-7"/>
        </w:rPr>
        <w:t> </w:t>
      </w:r>
      <w:r>
        <w:rPr/>
        <w:t>the</w:t>
      </w:r>
      <w:r>
        <w:rPr>
          <w:spacing w:val="-8"/>
        </w:rPr>
        <w:t> </w:t>
      </w:r>
      <w:r>
        <w:rPr/>
        <w:t>tax</w:t>
      </w:r>
      <w:r>
        <w:rPr>
          <w:spacing w:val="-5"/>
        </w:rPr>
        <w:t> </w:t>
      </w:r>
      <w:r>
        <w:rPr/>
        <w:t>and</w:t>
      </w:r>
      <w:r>
        <w:rPr>
          <w:spacing w:val="-8"/>
        </w:rPr>
        <w:t> </w:t>
      </w:r>
      <w:r>
        <w:rPr/>
        <w:t>improve</w:t>
      </w:r>
      <w:r>
        <w:rPr>
          <w:spacing w:val="-8"/>
        </w:rPr>
        <w:t> </w:t>
      </w:r>
      <w:r>
        <w:rPr/>
        <w:t>the</w:t>
      </w:r>
      <w:r>
        <w:rPr>
          <w:spacing w:val="-8"/>
        </w:rPr>
        <w:t> </w:t>
      </w:r>
      <w:r>
        <w:rPr/>
        <w:t>economic</w:t>
      </w:r>
      <w:r>
        <w:rPr>
          <w:spacing w:val="-9"/>
        </w:rPr>
        <w:t> </w:t>
      </w:r>
      <w:r>
        <w:rPr/>
        <w:t>conditions</w:t>
      </w:r>
      <w:r>
        <w:rPr>
          <w:spacing w:val="-7"/>
        </w:rPr>
        <w:t> </w:t>
      </w:r>
      <w:r>
        <w:rPr/>
        <w:t>of</w:t>
      </w:r>
      <w:r>
        <w:rPr>
          <w:spacing w:val="-7"/>
        </w:rPr>
        <w:t> </w:t>
      </w:r>
      <w:r>
        <w:rPr/>
        <w:t>merchants in the Las Mercedes de Juliaca supply center.</w:t>
      </w:r>
    </w:p>
    <w:p>
      <w:pPr>
        <w:pStyle w:val="BodyText"/>
        <w:spacing w:before="1"/>
        <w:ind w:left="863"/>
        <w:jc w:val="both"/>
      </w:pPr>
      <w:r>
        <w:rPr>
          <w:b/>
          <w:i/>
        </w:rPr>
        <w:t>Keywords</w:t>
      </w:r>
      <w:r>
        <w:rPr/>
        <w:t>:</w:t>
      </w:r>
      <w:r>
        <w:rPr>
          <w:spacing w:val="55"/>
        </w:rPr>
        <w:t> </w:t>
      </w:r>
      <w:r>
        <w:rPr/>
        <w:t>Commerce,</w:t>
      </w:r>
      <w:r>
        <w:rPr>
          <w:spacing w:val="-2"/>
        </w:rPr>
        <w:t> </w:t>
      </w:r>
      <w:r>
        <w:rPr/>
        <w:t>economy, </w:t>
      </w:r>
      <w:r>
        <w:rPr>
          <w:spacing w:val="-2"/>
        </w:rPr>
        <w:t>management.</w:t>
      </w:r>
    </w:p>
    <w:p>
      <w:pPr>
        <w:pStyle w:val="BodyText"/>
        <w:spacing w:after="0"/>
        <w:jc w:val="both"/>
        <w:sectPr>
          <w:headerReference w:type="default" r:id="rId24"/>
          <w:footerReference w:type="default" r:id="rId25"/>
          <w:pgSz w:w="11910" w:h="16840"/>
          <w:pgMar w:header="0" w:footer="693" w:top="1340" w:bottom="880" w:left="1559" w:right="425"/>
        </w:sectPr>
      </w:pPr>
    </w:p>
    <w:p>
      <w:pPr>
        <w:pStyle w:val="Heading2"/>
        <w:spacing w:before="66"/>
        <w:ind w:left="0" w:right="845"/>
      </w:pPr>
      <w:bookmarkStart w:name="_bookmark6" w:id="7"/>
      <w:bookmarkEnd w:id="7"/>
      <w:r>
        <w:rPr>
          <w:b w:val="0"/>
        </w:rPr>
      </w:r>
      <w:r>
        <w:rPr>
          <w:spacing w:val="-2"/>
        </w:rPr>
        <w:t>INTRODUCCIÓN</w:t>
      </w:r>
    </w:p>
    <w:p>
      <w:pPr>
        <w:pStyle w:val="BodyText"/>
        <w:spacing w:before="120"/>
        <w:rPr>
          <w:b/>
        </w:rPr>
      </w:pPr>
    </w:p>
    <w:p>
      <w:pPr>
        <w:pStyle w:val="BodyText"/>
        <w:spacing w:line="480" w:lineRule="auto"/>
        <w:ind w:left="143" w:right="988" w:firstLine="707"/>
        <w:jc w:val="both"/>
      </w:pPr>
      <w:r>
        <w:rPr/>
        <w:t>El presente investigación se centra en el análisis de la influencia del Impuesto General a las Ventas (IGV) en la percepción económica de los comerciantes del Centro de Abastos Las Mercedes de Juliaca durante el año 2023. El IGV, como tributo indirecto, desempeña un papel crucial en la estructura fiscal del país al gravar las transacciones comerciales, lo que, a su vez, influye en la estabilidad, liquidez y seguridad económica de los agentes comerciales. Este estudio busca profundizar en cómo el cumplimiento de esta obligación tributaria afecta la actividad económica de los comerciantes, considerando sus percepciones</w:t>
      </w:r>
      <w:r>
        <w:rPr>
          <w:spacing w:val="-2"/>
        </w:rPr>
        <w:t> </w:t>
      </w:r>
      <w:r>
        <w:rPr/>
        <w:t>sobre</w:t>
      </w:r>
      <w:r>
        <w:rPr>
          <w:spacing w:val="-2"/>
        </w:rPr>
        <w:t> </w:t>
      </w:r>
      <w:r>
        <w:rPr/>
        <w:t>el</w:t>
      </w:r>
      <w:r>
        <w:rPr>
          <w:spacing w:val="-3"/>
        </w:rPr>
        <w:t> </w:t>
      </w:r>
      <w:r>
        <w:rPr/>
        <w:t>impacto</w:t>
      </w:r>
      <w:r>
        <w:rPr>
          <w:spacing w:val="-2"/>
        </w:rPr>
        <w:t> </w:t>
      </w:r>
      <w:r>
        <w:rPr/>
        <w:t>en</w:t>
      </w:r>
      <w:r>
        <w:rPr>
          <w:spacing w:val="-2"/>
        </w:rPr>
        <w:t> </w:t>
      </w:r>
      <w:r>
        <w:rPr/>
        <w:t>sus</w:t>
      </w:r>
      <w:r>
        <w:rPr>
          <w:spacing w:val="-2"/>
        </w:rPr>
        <w:t> </w:t>
      </w:r>
      <w:r>
        <w:rPr/>
        <w:t>operaciones</w:t>
      </w:r>
      <w:r>
        <w:rPr>
          <w:spacing w:val="-2"/>
        </w:rPr>
        <w:t> </w:t>
      </w:r>
      <w:r>
        <w:rPr/>
        <w:t>diarias,</w:t>
      </w:r>
      <w:r>
        <w:rPr>
          <w:spacing w:val="-1"/>
        </w:rPr>
        <w:t> </w:t>
      </w:r>
      <w:r>
        <w:rPr/>
        <w:t>la</w:t>
      </w:r>
      <w:r>
        <w:rPr>
          <w:spacing w:val="-2"/>
        </w:rPr>
        <w:t> </w:t>
      </w:r>
      <w:r>
        <w:rPr/>
        <w:t>gestión</w:t>
      </w:r>
      <w:r>
        <w:rPr>
          <w:spacing w:val="-2"/>
        </w:rPr>
        <w:t> </w:t>
      </w:r>
      <w:r>
        <w:rPr/>
        <w:t>de</w:t>
      </w:r>
      <w:r>
        <w:rPr>
          <w:spacing w:val="-2"/>
        </w:rPr>
        <w:t> </w:t>
      </w:r>
      <w:r>
        <w:rPr/>
        <w:t>recursos</w:t>
      </w:r>
      <w:r>
        <w:rPr>
          <w:spacing w:val="-2"/>
        </w:rPr>
        <w:t> </w:t>
      </w:r>
      <w:r>
        <w:rPr/>
        <w:t>financieros y la toma de decisiones comerciales. A través de un enfoque explicativo, se pretende contribuir a la comprensión de la relación entre el IGV y la dinámica económica en el contexto local, ofreciendo información valiosa que pueda orientar tanto a los comerciantes como a los formuladores de políticas fiscales en la región. La presente investigación se organiza en seis apartados: El Primer Capítulo aborda el tema central de la investigación, detallando su enunciado, formulación y justificación. En el Segundo Capítulo, se establece el objetivo principal y los objetivos particulares que guiarán el estudio. El Tercer Capítulo proporciona el marco teórico, que abarca antecedentes de investigaciones anteriores, fundamentos teóricos y un marco conceptual. En el Cuarto Capítulo, se presentan las hipótesis</w:t>
      </w:r>
      <w:r>
        <w:rPr>
          <w:spacing w:val="-8"/>
        </w:rPr>
        <w:t> </w:t>
      </w:r>
      <w:r>
        <w:rPr/>
        <w:t>del</w:t>
      </w:r>
      <w:r>
        <w:rPr>
          <w:spacing w:val="-9"/>
        </w:rPr>
        <w:t> </w:t>
      </w:r>
      <w:r>
        <w:rPr/>
        <w:t>estudio,</w:t>
      </w:r>
      <w:r>
        <w:rPr>
          <w:spacing w:val="-7"/>
        </w:rPr>
        <w:t> </w:t>
      </w:r>
      <w:r>
        <w:rPr/>
        <w:t>tanto</w:t>
      </w:r>
      <w:r>
        <w:rPr>
          <w:spacing w:val="-7"/>
        </w:rPr>
        <w:t> </w:t>
      </w:r>
      <w:r>
        <w:rPr/>
        <w:t>la</w:t>
      </w:r>
      <w:r>
        <w:rPr>
          <w:spacing w:val="-10"/>
        </w:rPr>
        <w:t> </w:t>
      </w:r>
      <w:r>
        <w:rPr/>
        <w:t>general</w:t>
      </w:r>
      <w:r>
        <w:rPr>
          <w:spacing w:val="-8"/>
        </w:rPr>
        <w:t> </w:t>
      </w:r>
      <w:r>
        <w:rPr/>
        <w:t>como</w:t>
      </w:r>
      <w:r>
        <w:rPr>
          <w:spacing w:val="-8"/>
        </w:rPr>
        <w:t> </w:t>
      </w:r>
      <w:r>
        <w:rPr/>
        <w:t>las</w:t>
      </w:r>
      <w:r>
        <w:rPr>
          <w:spacing w:val="-8"/>
        </w:rPr>
        <w:t> </w:t>
      </w:r>
      <w:r>
        <w:rPr/>
        <w:t>particulares,</w:t>
      </w:r>
      <w:r>
        <w:rPr>
          <w:spacing w:val="-8"/>
        </w:rPr>
        <w:t> </w:t>
      </w:r>
      <w:r>
        <w:rPr/>
        <w:t>junto</w:t>
      </w:r>
      <w:r>
        <w:rPr>
          <w:spacing w:val="-9"/>
        </w:rPr>
        <w:t> </w:t>
      </w:r>
      <w:r>
        <w:rPr/>
        <w:t>a</w:t>
      </w:r>
      <w:r>
        <w:rPr>
          <w:spacing w:val="-9"/>
        </w:rPr>
        <w:t> </w:t>
      </w:r>
      <w:r>
        <w:rPr/>
        <w:t>una</w:t>
      </w:r>
      <w:r>
        <w:rPr>
          <w:spacing w:val="-7"/>
        </w:rPr>
        <w:t> </w:t>
      </w:r>
      <w:r>
        <w:rPr/>
        <w:t>descripción</w:t>
      </w:r>
      <w:r>
        <w:rPr>
          <w:spacing w:val="-7"/>
        </w:rPr>
        <w:t> </w:t>
      </w:r>
      <w:r>
        <w:rPr/>
        <w:t>y</w:t>
      </w:r>
      <w:r>
        <w:rPr>
          <w:spacing w:val="-8"/>
        </w:rPr>
        <w:t> </w:t>
      </w:r>
      <w:r>
        <w:rPr/>
        <w:t>puesta en práctica de las variables involucradas. El Quinto Capítulo explica la metodología adoptada, abarcando la perspectiva, técnicas, clase y grado de investigación, esquema, población y muestra, así como las metodologías y herramientas de adquisición de información. También se analizan la fiabilidad y verificación de los datos, junto con el procesamiento y evaluación de las hipótesis. Finalmente, el Sexto Capítulo muestra los hallazgos</w:t>
      </w:r>
      <w:r>
        <w:rPr>
          <w:spacing w:val="25"/>
        </w:rPr>
        <w:t>  </w:t>
      </w:r>
      <w:r>
        <w:rPr/>
        <w:t>obtenidos</w:t>
      </w:r>
      <w:r>
        <w:rPr>
          <w:spacing w:val="28"/>
        </w:rPr>
        <w:t>  </w:t>
      </w:r>
      <w:r>
        <w:rPr/>
        <w:t>y</w:t>
      </w:r>
      <w:r>
        <w:rPr>
          <w:spacing w:val="26"/>
        </w:rPr>
        <w:t>  </w:t>
      </w:r>
      <w:r>
        <w:rPr/>
        <w:t>su</w:t>
      </w:r>
      <w:r>
        <w:rPr>
          <w:spacing w:val="26"/>
        </w:rPr>
        <w:t>  </w:t>
      </w:r>
      <w:r>
        <w:rPr/>
        <w:t>análisis,</w:t>
      </w:r>
      <w:r>
        <w:rPr>
          <w:spacing w:val="26"/>
        </w:rPr>
        <w:t>  </w:t>
      </w:r>
      <w:r>
        <w:rPr/>
        <w:t>seguido</w:t>
      </w:r>
      <w:r>
        <w:rPr>
          <w:spacing w:val="26"/>
        </w:rPr>
        <w:t>  </w:t>
      </w:r>
      <w:r>
        <w:rPr/>
        <w:t>de</w:t>
      </w:r>
      <w:r>
        <w:rPr>
          <w:spacing w:val="26"/>
        </w:rPr>
        <w:t>  </w:t>
      </w:r>
      <w:r>
        <w:rPr/>
        <w:t>las</w:t>
      </w:r>
      <w:r>
        <w:rPr>
          <w:spacing w:val="26"/>
        </w:rPr>
        <w:t>  </w:t>
      </w:r>
      <w:r>
        <w:rPr/>
        <w:t>conclusiones,</w:t>
      </w:r>
      <w:r>
        <w:rPr>
          <w:spacing w:val="26"/>
        </w:rPr>
        <w:t>  </w:t>
      </w:r>
      <w:r>
        <w:rPr>
          <w:spacing w:val="-2"/>
        </w:rPr>
        <w:t>recomendaciones,</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43" w:right="995"/>
        <w:jc w:val="both"/>
      </w:pPr>
      <w:r>
        <w:rPr/>
        <w:t>Bibliografía y a su vez los anexos que contienen la matriz de coherencia, matriz de información, los instrumentos empleados, validación y evidencia de la recolección de las informaciones pertinentes.</w:t>
      </w:r>
    </w:p>
    <w:p>
      <w:pPr>
        <w:pStyle w:val="BodyText"/>
        <w:spacing w:after="0" w:line="480" w:lineRule="auto"/>
        <w:jc w:val="both"/>
        <w:sectPr>
          <w:headerReference w:type="default" r:id="rId26"/>
          <w:footerReference w:type="default" r:id="rId27"/>
          <w:pgSz w:w="11910" w:h="16840"/>
          <w:pgMar w:header="0" w:footer="693" w:top="1340" w:bottom="880" w:left="1559" w:right="425"/>
        </w:sectPr>
      </w:pPr>
    </w:p>
    <w:p>
      <w:pPr>
        <w:pStyle w:val="BodyText"/>
        <w:rPr>
          <w:sz w:val="20"/>
        </w:rPr>
      </w:pPr>
      <w:r>
        <w:rPr>
          <w:sz w:val="20"/>
        </w:rPr>
        <w:drawing>
          <wp:anchor distT="0" distB="0" distL="0" distR="0" allowOverlap="1" layoutInCell="1" locked="0" behindDoc="0" simplePos="0" relativeHeight="15745536">
            <wp:simplePos x="0" y="0"/>
            <wp:positionH relativeFrom="page">
              <wp:posOffset>0</wp:posOffset>
            </wp:positionH>
            <wp:positionV relativeFrom="page">
              <wp:posOffset>0</wp:posOffset>
            </wp:positionV>
            <wp:extent cx="7559040" cy="858265"/>
            <wp:effectExtent l="0" t="0" r="0" b="0"/>
            <wp:wrapNone/>
            <wp:docPr id="81" name="Image 81"/>
            <wp:cNvGraphicFramePr>
              <a:graphicFrameLocks/>
            </wp:cNvGraphicFramePr>
            <a:graphic>
              <a:graphicData uri="http://schemas.openxmlformats.org/drawingml/2006/picture">
                <pic:pic>
                  <pic:nvPicPr>
                    <pic:cNvPr id="81" name="Image 81"/>
                    <pic:cNvPicPr/>
                  </pic:nvPicPr>
                  <pic:blipFill>
                    <a:blip r:embed="rId5" cstate="print"/>
                    <a:stretch>
                      <a:fillRect/>
                    </a:stretch>
                  </pic:blipFill>
                  <pic:spPr>
                    <a:xfrm>
                      <a:off x="0" y="0"/>
                      <a:ext cx="7559040" cy="858265"/>
                    </a:xfrm>
                    <a:prstGeom prst="rect">
                      <a:avLst/>
                    </a:prstGeom>
                  </pic:spPr>
                </pic:pic>
              </a:graphicData>
            </a:graphic>
          </wp:anchor>
        </w:drawing>
      </w:r>
    </w:p>
    <w:p>
      <w:pPr>
        <w:pStyle w:val="BodyText"/>
        <w:spacing w:before="107"/>
        <w:rPr>
          <w:sz w:val="20"/>
        </w:rPr>
      </w:pPr>
    </w:p>
    <w:p>
      <w:pPr>
        <w:pStyle w:val="BodyText"/>
        <w:ind w:left="8671"/>
        <w:rPr>
          <w:sz w:val="20"/>
        </w:rPr>
      </w:pPr>
      <w:r>
        <w:rPr>
          <w:sz w:val="20"/>
        </w:rPr>
        <mc:AlternateContent>
          <mc:Choice Requires="wps">
            <w:drawing>
              <wp:inline distT="0" distB="0" distL="0" distR="0">
                <wp:extent cx="419100" cy="381000"/>
                <wp:effectExtent l="0" t="0" r="0" b="0"/>
                <wp:docPr id="82" name="Group 82"/>
                <wp:cNvGraphicFramePr>
                  <a:graphicFrameLocks/>
                </wp:cNvGraphicFramePr>
                <a:graphic>
                  <a:graphicData uri="http://schemas.microsoft.com/office/word/2010/wordprocessingGroup">
                    <wpg:wgp>
                      <wpg:cNvPr id="82" name="Group 82"/>
                      <wpg:cNvGrpSpPr/>
                      <wpg:grpSpPr>
                        <a:xfrm>
                          <a:off x="0" y="0"/>
                          <a:ext cx="419100" cy="381000"/>
                          <a:chExt cx="419100" cy="381000"/>
                        </a:xfrm>
                      </wpg:grpSpPr>
                      <wps:wsp>
                        <wps:cNvPr id="83" name="Graphic 83"/>
                        <wps:cNvSpPr/>
                        <wps:spPr>
                          <a:xfrm>
                            <a:off x="0" y="0"/>
                            <a:ext cx="419100" cy="381000"/>
                          </a:xfrm>
                          <a:custGeom>
                            <a:avLst/>
                            <a:gdLst/>
                            <a:ahLst/>
                            <a:cxnLst/>
                            <a:rect l="l" t="t" r="r" b="b"/>
                            <a:pathLst>
                              <a:path w="419100" h="381000">
                                <a:moveTo>
                                  <a:pt x="419100" y="0"/>
                                </a:moveTo>
                                <a:lnTo>
                                  <a:pt x="0" y="0"/>
                                </a:lnTo>
                                <a:lnTo>
                                  <a:pt x="0" y="381000"/>
                                </a:lnTo>
                                <a:lnTo>
                                  <a:pt x="419100" y="381000"/>
                                </a:lnTo>
                                <a:lnTo>
                                  <a:pt x="419100"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style="width:33pt;height:30pt;mso-position-horizontal-relative:char;mso-position-vertical-relative:line" id="docshapegroup66" coordorigin="0,0" coordsize="660,600">
                <v:rect style="position:absolute;left:0;top:0;width:660;height:600" id="docshape67" filled="true" fillcolor="#ffffff" stroked="false">
                  <v:fill type="solid"/>
                </v:rect>
              </v:group>
            </w:pict>
          </mc:Fallback>
        </mc:AlternateContent>
      </w:r>
      <w:r>
        <w:rPr>
          <w:sz w:val="20"/>
        </w:rPr>
      </w:r>
    </w:p>
    <w:p>
      <w:pPr>
        <w:pStyle w:val="Heading1"/>
        <w:spacing w:before="208"/>
        <w:ind w:right="842"/>
        <w:rPr>
          <w:rFonts w:ascii="Times New Roman" w:hAnsi="Times New Roman"/>
        </w:rPr>
      </w:pPr>
      <w:r>
        <w:rPr>
          <w:rFonts w:ascii="Times New Roman" w:hAnsi="Times New Roman"/>
        </w:rPr>
        <mc:AlternateContent>
          <mc:Choice Requires="wps">
            <w:drawing>
              <wp:anchor distT="0" distB="0" distL="0" distR="0" allowOverlap="1" layoutInCell="1" locked="0" behindDoc="1" simplePos="0" relativeHeight="485999104">
                <wp:simplePos x="0" y="0"/>
                <wp:positionH relativeFrom="page">
                  <wp:posOffset>6584568</wp:posOffset>
                </wp:positionH>
                <wp:positionV relativeFrom="paragraph">
                  <wp:posOffset>-312335</wp:posOffset>
                </wp:positionV>
                <wp:extent cx="76200" cy="168910"/>
                <wp:effectExtent l="0" t="0" r="0" b="0"/>
                <wp:wrapNone/>
                <wp:docPr id="84" name="Textbox 84"/>
                <wp:cNvGraphicFramePr>
                  <a:graphicFrameLocks/>
                </wp:cNvGraphicFramePr>
                <a:graphic>
                  <a:graphicData uri="http://schemas.microsoft.com/office/word/2010/wordprocessingShape">
                    <wps:wsp>
                      <wps:cNvPr id="84" name="Textbox 84"/>
                      <wps:cNvSpPr txBox="1"/>
                      <wps:spPr>
                        <a:xfrm>
                          <a:off x="0" y="0"/>
                          <a:ext cx="76200" cy="168910"/>
                        </a:xfrm>
                        <a:prstGeom prst="rect">
                          <a:avLst/>
                        </a:prstGeom>
                      </wps:spPr>
                      <wps:txbx>
                        <w:txbxContent>
                          <w:p>
                            <w:pPr>
                              <w:pStyle w:val="BodyText"/>
                              <w:spacing w:line="266" w:lineRule="exact"/>
                            </w:pPr>
                            <w:r>
                              <w:rPr>
                                <w:spacing w:val="-10"/>
                              </w:rPr>
                              <w:t>1</w:t>
                            </w:r>
                          </w:p>
                        </w:txbxContent>
                      </wps:txbx>
                      <wps:bodyPr wrap="square" lIns="0" tIns="0" rIns="0" bIns="0" rtlCol="0">
                        <a:noAutofit/>
                      </wps:bodyPr>
                    </wps:wsp>
                  </a:graphicData>
                </a:graphic>
              </wp:anchor>
            </w:drawing>
          </mc:Choice>
          <mc:Fallback>
            <w:pict>
              <v:shape style="position:absolute;margin-left:518.469971pt;margin-top:-24.593359pt;width:6pt;height:13.3pt;mso-position-horizontal-relative:page;mso-position-vertical-relative:paragraph;z-index:-17317376" type="#_x0000_t202" id="docshape68" filled="false" stroked="false">
                <v:textbox inset="0,0,0,0">
                  <w:txbxContent>
                    <w:p>
                      <w:pPr>
                        <w:pStyle w:val="BodyText"/>
                        <w:spacing w:line="266" w:lineRule="exact"/>
                      </w:pPr>
                      <w:r>
                        <w:rPr>
                          <w:spacing w:val="-10"/>
                        </w:rPr>
                        <w:t>1</w:t>
                      </w:r>
                    </w:p>
                  </w:txbxContent>
                </v:textbox>
                <w10:wrap type="none"/>
              </v:shape>
            </w:pict>
          </mc:Fallback>
        </mc:AlternateContent>
      </w:r>
      <w:bookmarkStart w:name="_bookmark7" w:id="8"/>
      <w:bookmarkEnd w:id="8"/>
      <w:r>
        <w:rPr>
          <w:b w:val="0"/>
        </w:rPr>
      </w:r>
      <w:r>
        <w:rPr>
          <w:rFonts w:ascii="Times New Roman" w:hAnsi="Times New Roman"/>
        </w:rPr>
        <w:t>CAPÍTULO </w:t>
      </w:r>
      <w:r>
        <w:rPr>
          <w:rFonts w:ascii="Times New Roman" w:hAnsi="Times New Roman"/>
          <w:spacing w:val="-10"/>
        </w:rPr>
        <w:t>I</w:t>
      </w:r>
    </w:p>
    <w:p>
      <w:pPr>
        <w:pStyle w:val="BodyText"/>
        <w:rPr>
          <w:b/>
          <w:sz w:val="28"/>
        </w:rPr>
      </w:pPr>
    </w:p>
    <w:p>
      <w:pPr>
        <w:pStyle w:val="Heading2"/>
        <w:ind w:right="846"/>
      </w:pPr>
      <w:bookmarkStart w:name="_bookmark8" w:id="9"/>
      <w:bookmarkEnd w:id="9"/>
      <w:r>
        <w:rPr>
          <w:b w:val="0"/>
        </w:rPr>
      </w:r>
      <w:r>
        <w:rPr/>
        <w:t>EL </w:t>
      </w:r>
      <w:r>
        <w:rPr>
          <w:spacing w:val="-2"/>
        </w:rPr>
        <w:t>PROBLEMA</w:t>
      </w:r>
    </w:p>
    <w:p>
      <w:pPr>
        <w:pStyle w:val="BodyText"/>
        <w:spacing w:before="120"/>
        <w:rPr>
          <w:b/>
        </w:rPr>
      </w:pPr>
    </w:p>
    <w:p>
      <w:pPr>
        <w:pStyle w:val="Heading3"/>
        <w:numPr>
          <w:ilvl w:val="1"/>
          <w:numId w:val="8"/>
        </w:numPr>
        <w:tabs>
          <w:tab w:pos="568" w:val="left" w:leader="none"/>
        </w:tabs>
        <w:spacing w:line="240" w:lineRule="auto" w:before="0" w:after="0"/>
        <w:ind w:left="568" w:right="0" w:hanging="425"/>
        <w:jc w:val="left"/>
      </w:pPr>
      <w:bookmarkStart w:name="_bookmark9" w:id="10"/>
      <w:bookmarkEnd w:id="10"/>
      <w:r>
        <w:rPr>
          <w:b w:val="0"/>
        </w:rPr>
      </w:r>
      <w:r>
        <w:rPr/>
        <w:t>Planteamiento</w:t>
      </w:r>
      <w:r>
        <w:rPr>
          <w:spacing w:val="-3"/>
        </w:rPr>
        <w:t> </w:t>
      </w:r>
      <w:r>
        <w:rPr/>
        <w:t>del</w:t>
      </w:r>
      <w:r>
        <w:rPr>
          <w:spacing w:val="-3"/>
        </w:rPr>
        <w:t> </w:t>
      </w:r>
      <w:r>
        <w:rPr>
          <w:spacing w:val="-2"/>
        </w:rPr>
        <w:t>problema</w:t>
      </w:r>
    </w:p>
    <w:p>
      <w:pPr>
        <w:pStyle w:val="BodyText"/>
        <w:rPr>
          <w:b/>
        </w:rPr>
      </w:pPr>
    </w:p>
    <w:p>
      <w:pPr>
        <w:pStyle w:val="BodyText"/>
        <w:spacing w:line="480" w:lineRule="auto"/>
        <w:ind w:left="569" w:right="990" w:firstLine="420"/>
        <w:jc w:val="both"/>
      </w:pPr>
      <w:r>
        <w:rPr/>
        <w:t>A nivel internacional, el Impuesto General a las Ventas (IGV), conocido también como</w:t>
      </w:r>
      <w:r>
        <w:rPr>
          <w:spacing w:val="-9"/>
        </w:rPr>
        <w:t> </w:t>
      </w:r>
      <w:r>
        <w:rPr/>
        <w:t>Impuesto</w:t>
      </w:r>
      <w:r>
        <w:rPr>
          <w:spacing w:val="-9"/>
        </w:rPr>
        <w:t> </w:t>
      </w:r>
      <w:r>
        <w:rPr/>
        <w:t>al</w:t>
      </w:r>
      <w:r>
        <w:rPr>
          <w:spacing w:val="-11"/>
        </w:rPr>
        <w:t> </w:t>
      </w:r>
      <w:r>
        <w:rPr/>
        <w:t>Valor</w:t>
      </w:r>
      <w:r>
        <w:rPr>
          <w:spacing w:val="-10"/>
        </w:rPr>
        <w:t> </w:t>
      </w:r>
      <w:r>
        <w:rPr/>
        <w:t>Agregado</w:t>
      </w:r>
      <w:r>
        <w:rPr>
          <w:spacing w:val="-9"/>
        </w:rPr>
        <w:t> </w:t>
      </w:r>
      <w:r>
        <w:rPr/>
        <w:t>(IVA),</w:t>
      </w:r>
      <w:r>
        <w:rPr>
          <w:spacing w:val="-13"/>
        </w:rPr>
        <w:t> </w:t>
      </w:r>
      <w:r>
        <w:rPr/>
        <w:t>se</w:t>
      </w:r>
      <w:r>
        <w:rPr>
          <w:spacing w:val="-8"/>
        </w:rPr>
        <w:t> </w:t>
      </w:r>
      <w:r>
        <w:rPr/>
        <w:t>aplica</w:t>
      </w:r>
      <w:r>
        <w:rPr>
          <w:spacing w:val="-10"/>
        </w:rPr>
        <w:t> </w:t>
      </w:r>
      <w:r>
        <w:rPr/>
        <w:t>en</w:t>
      </w:r>
      <w:r>
        <w:rPr>
          <w:spacing w:val="-10"/>
        </w:rPr>
        <w:t> </w:t>
      </w:r>
      <w:r>
        <w:rPr/>
        <w:t>numerosos</w:t>
      </w:r>
      <w:r>
        <w:rPr>
          <w:spacing w:val="-9"/>
        </w:rPr>
        <w:t> </w:t>
      </w:r>
      <w:r>
        <w:rPr/>
        <w:t>países</w:t>
      </w:r>
      <w:r>
        <w:rPr>
          <w:spacing w:val="-9"/>
        </w:rPr>
        <w:t> </w:t>
      </w:r>
      <w:r>
        <w:rPr/>
        <w:t>con</w:t>
      </w:r>
      <w:r>
        <w:rPr>
          <w:spacing w:val="-10"/>
        </w:rPr>
        <w:t> </w:t>
      </w:r>
      <w:r>
        <w:rPr/>
        <w:t>el</w:t>
      </w:r>
      <w:r>
        <w:rPr>
          <w:spacing w:val="-11"/>
        </w:rPr>
        <w:t> </w:t>
      </w:r>
      <w:r>
        <w:rPr/>
        <w:t>objetivo de gravar el</w:t>
      </w:r>
      <w:r>
        <w:rPr>
          <w:spacing w:val="-1"/>
        </w:rPr>
        <w:t> </w:t>
      </w:r>
      <w:r>
        <w:rPr/>
        <w:t>uso de productos y prestaciones en todas las fases de fabricación y reparto desde</w:t>
      </w:r>
      <w:r>
        <w:rPr>
          <w:spacing w:val="-6"/>
        </w:rPr>
        <w:t> </w:t>
      </w:r>
      <w:r>
        <w:rPr/>
        <w:t>la</w:t>
      </w:r>
      <w:r>
        <w:rPr>
          <w:spacing w:val="-6"/>
        </w:rPr>
        <w:t> </w:t>
      </w:r>
      <w:r>
        <w:rPr/>
        <w:t>fabricación</w:t>
      </w:r>
      <w:r>
        <w:rPr>
          <w:spacing w:val="-3"/>
        </w:rPr>
        <w:t> </w:t>
      </w:r>
      <w:r>
        <w:rPr/>
        <w:t>hasta</w:t>
      </w:r>
      <w:r>
        <w:rPr>
          <w:spacing w:val="-6"/>
        </w:rPr>
        <w:t> </w:t>
      </w:r>
      <w:r>
        <w:rPr/>
        <w:t>la</w:t>
      </w:r>
      <w:r>
        <w:rPr>
          <w:spacing w:val="-7"/>
        </w:rPr>
        <w:t> </w:t>
      </w:r>
      <w:r>
        <w:rPr/>
        <w:t>venta</w:t>
      </w:r>
      <w:r>
        <w:rPr>
          <w:spacing w:val="-6"/>
        </w:rPr>
        <w:t> </w:t>
      </w:r>
      <w:r>
        <w:rPr/>
        <w:t>final</w:t>
      </w:r>
      <w:r>
        <w:rPr>
          <w:spacing w:val="-6"/>
        </w:rPr>
        <w:t> </w:t>
      </w:r>
      <w:r>
        <w:rPr/>
        <w:t>al</w:t>
      </w:r>
      <w:r>
        <w:rPr>
          <w:spacing w:val="-4"/>
        </w:rPr>
        <w:t> </w:t>
      </w:r>
      <w:r>
        <w:rPr/>
        <w:t>consumidor</w:t>
      </w:r>
      <w:r>
        <w:rPr>
          <w:spacing w:val="-5"/>
        </w:rPr>
        <w:t> </w:t>
      </w:r>
      <w:r>
        <w:rPr/>
        <w:t>(Delgado,</w:t>
      </w:r>
      <w:r>
        <w:rPr>
          <w:spacing w:val="-5"/>
        </w:rPr>
        <w:t> </w:t>
      </w:r>
      <w:r>
        <w:rPr/>
        <w:t>2019).</w:t>
      </w:r>
      <w:r>
        <w:rPr>
          <w:spacing w:val="-5"/>
        </w:rPr>
        <w:t> </w:t>
      </w:r>
      <w:r>
        <w:rPr/>
        <w:t>Esta</w:t>
      </w:r>
      <w:r>
        <w:rPr>
          <w:spacing w:val="-6"/>
        </w:rPr>
        <w:t> </w:t>
      </w:r>
      <w:r>
        <w:rPr/>
        <w:t>estructura impositiva</w:t>
      </w:r>
      <w:r>
        <w:rPr>
          <w:spacing w:val="-3"/>
        </w:rPr>
        <w:t> </w:t>
      </w:r>
      <w:r>
        <w:rPr/>
        <w:t>no</w:t>
      </w:r>
      <w:r>
        <w:rPr>
          <w:spacing w:val="-3"/>
        </w:rPr>
        <w:t> </w:t>
      </w:r>
      <w:r>
        <w:rPr/>
        <w:t>solo</w:t>
      </w:r>
      <w:r>
        <w:rPr>
          <w:spacing w:val="-2"/>
        </w:rPr>
        <w:t> </w:t>
      </w:r>
      <w:r>
        <w:rPr/>
        <w:t>busca</w:t>
      </w:r>
      <w:r>
        <w:rPr>
          <w:spacing w:val="-3"/>
        </w:rPr>
        <w:t> </w:t>
      </w:r>
      <w:r>
        <w:rPr/>
        <w:t>incrementar</w:t>
      </w:r>
      <w:r>
        <w:rPr>
          <w:spacing w:val="-3"/>
        </w:rPr>
        <w:t> </w:t>
      </w:r>
      <w:r>
        <w:rPr/>
        <w:t>los</w:t>
      </w:r>
      <w:r>
        <w:rPr>
          <w:spacing w:val="-2"/>
        </w:rPr>
        <w:t> </w:t>
      </w:r>
      <w:r>
        <w:rPr/>
        <w:t>ingresos</w:t>
      </w:r>
      <w:r>
        <w:rPr>
          <w:spacing w:val="-3"/>
        </w:rPr>
        <w:t> </w:t>
      </w:r>
      <w:r>
        <w:rPr/>
        <w:t>fiscales,</w:t>
      </w:r>
      <w:r>
        <w:rPr>
          <w:spacing w:val="-1"/>
        </w:rPr>
        <w:t> </w:t>
      </w:r>
      <w:r>
        <w:rPr/>
        <w:t>sino</w:t>
      </w:r>
      <w:r>
        <w:rPr>
          <w:spacing w:val="-3"/>
        </w:rPr>
        <w:t> </w:t>
      </w:r>
      <w:r>
        <w:rPr/>
        <w:t>que</w:t>
      </w:r>
      <w:r>
        <w:rPr>
          <w:spacing w:val="-3"/>
        </w:rPr>
        <w:t> </w:t>
      </w:r>
      <w:r>
        <w:rPr/>
        <w:t>también</w:t>
      </w:r>
      <w:r>
        <w:rPr>
          <w:spacing w:val="-3"/>
        </w:rPr>
        <w:t> </w:t>
      </w:r>
      <w:r>
        <w:rPr/>
        <w:t>influye</w:t>
      </w:r>
      <w:r>
        <w:rPr>
          <w:spacing w:val="-3"/>
        </w:rPr>
        <w:t> </w:t>
      </w:r>
      <w:r>
        <w:rPr/>
        <w:t>en la percepción económica de los actores involucrados, ya que esta percepción afecta las decisiones</w:t>
      </w:r>
      <w:r>
        <w:rPr>
          <w:spacing w:val="-9"/>
        </w:rPr>
        <w:t> </w:t>
      </w:r>
      <w:r>
        <w:rPr/>
        <w:t>de</w:t>
      </w:r>
      <w:r>
        <w:rPr>
          <w:spacing w:val="-10"/>
        </w:rPr>
        <w:t> </w:t>
      </w:r>
      <w:r>
        <w:rPr/>
        <w:t>inversión,</w:t>
      </w:r>
      <w:r>
        <w:rPr>
          <w:spacing w:val="-9"/>
        </w:rPr>
        <w:t> </w:t>
      </w:r>
      <w:r>
        <w:rPr/>
        <w:t>gasto</w:t>
      </w:r>
      <w:r>
        <w:rPr>
          <w:spacing w:val="-10"/>
        </w:rPr>
        <w:t> </w:t>
      </w:r>
      <w:r>
        <w:rPr/>
        <w:t>y</w:t>
      </w:r>
      <w:r>
        <w:rPr>
          <w:spacing w:val="-9"/>
        </w:rPr>
        <w:t> </w:t>
      </w:r>
      <w:r>
        <w:rPr/>
        <w:t>ahorro</w:t>
      </w:r>
      <w:r>
        <w:rPr>
          <w:spacing w:val="-10"/>
        </w:rPr>
        <w:t> </w:t>
      </w:r>
      <w:r>
        <w:rPr/>
        <w:t>de</w:t>
      </w:r>
      <w:r>
        <w:rPr>
          <w:spacing w:val="-10"/>
        </w:rPr>
        <w:t> </w:t>
      </w:r>
      <w:r>
        <w:rPr/>
        <w:t>las</w:t>
      </w:r>
      <w:r>
        <w:rPr>
          <w:spacing w:val="-9"/>
        </w:rPr>
        <w:t> </w:t>
      </w:r>
      <w:r>
        <w:rPr/>
        <w:t>personas</w:t>
      </w:r>
      <w:r>
        <w:rPr>
          <w:spacing w:val="-9"/>
        </w:rPr>
        <w:t> </w:t>
      </w:r>
      <w:r>
        <w:rPr/>
        <w:t>y</w:t>
      </w:r>
      <w:r>
        <w:rPr>
          <w:spacing w:val="-9"/>
        </w:rPr>
        <w:t> </w:t>
      </w:r>
      <w:r>
        <w:rPr/>
        <w:t>empresas</w:t>
      </w:r>
      <w:r>
        <w:rPr>
          <w:spacing w:val="-9"/>
        </w:rPr>
        <w:t> </w:t>
      </w:r>
      <w:r>
        <w:rPr/>
        <w:t>(Adrianzén</w:t>
      </w:r>
      <w:r>
        <w:rPr>
          <w:spacing w:val="-9"/>
        </w:rPr>
        <w:t> </w:t>
      </w:r>
      <w:r>
        <w:rPr/>
        <w:t>&amp;</w:t>
      </w:r>
      <w:r>
        <w:rPr>
          <w:spacing w:val="-10"/>
        </w:rPr>
        <w:t> </w:t>
      </w:r>
      <w:r>
        <w:rPr/>
        <w:t>Mego, 2020). Sin embargo, las variaciones en las regulaciones fiscales y los sistemas impositivos</w:t>
      </w:r>
      <w:r>
        <w:rPr>
          <w:spacing w:val="-3"/>
        </w:rPr>
        <w:t> </w:t>
      </w:r>
      <w:r>
        <w:rPr/>
        <w:t>entre</w:t>
      </w:r>
      <w:r>
        <w:rPr>
          <w:spacing w:val="-5"/>
        </w:rPr>
        <w:t> </w:t>
      </w:r>
      <w:r>
        <w:rPr/>
        <w:t>diferentes</w:t>
      </w:r>
      <w:r>
        <w:rPr>
          <w:spacing w:val="-3"/>
        </w:rPr>
        <w:t> </w:t>
      </w:r>
      <w:r>
        <w:rPr/>
        <w:t>países,</w:t>
      </w:r>
      <w:r>
        <w:rPr>
          <w:spacing w:val="-3"/>
        </w:rPr>
        <w:t> </w:t>
      </w:r>
      <w:r>
        <w:rPr/>
        <w:t>como</w:t>
      </w:r>
      <w:r>
        <w:rPr>
          <w:spacing w:val="-2"/>
        </w:rPr>
        <w:t> </w:t>
      </w:r>
      <w:r>
        <w:rPr/>
        <w:t>el</w:t>
      </w:r>
      <w:r>
        <w:rPr>
          <w:spacing w:val="-5"/>
        </w:rPr>
        <w:t> </w:t>
      </w:r>
      <w:r>
        <w:rPr/>
        <w:t>GST</w:t>
      </w:r>
      <w:r>
        <w:rPr>
          <w:spacing w:val="-3"/>
        </w:rPr>
        <w:t> </w:t>
      </w:r>
      <w:r>
        <w:rPr/>
        <w:t>(Goods</w:t>
      </w:r>
      <w:r>
        <w:rPr>
          <w:spacing w:val="-3"/>
        </w:rPr>
        <w:t> </w:t>
      </w:r>
      <w:r>
        <w:rPr/>
        <w:t>and</w:t>
      </w:r>
      <w:r>
        <w:rPr>
          <w:spacing w:val="-6"/>
        </w:rPr>
        <w:t> </w:t>
      </w:r>
      <w:r>
        <w:rPr/>
        <w:t>Services</w:t>
      </w:r>
      <w:r>
        <w:rPr>
          <w:spacing w:val="-3"/>
        </w:rPr>
        <w:t> </w:t>
      </w:r>
      <w:r>
        <w:rPr/>
        <w:t>Tax)</w:t>
      </w:r>
      <w:r>
        <w:rPr>
          <w:spacing w:val="-3"/>
        </w:rPr>
        <w:t> </w:t>
      </w:r>
      <w:r>
        <w:rPr/>
        <w:t>en</w:t>
      </w:r>
      <w:r>
        <w:rPr>
          <w:spacing w:val="-3"/>
        </w:rPr>
        <w:t> </w:t>
      </w:r>
      <w:r>
        <w:rPr/>
        <w:t>algunos lugares y el IVA en otros, generan disparidades en la forma en que se percibe y se reacciona ante la carga tributaria. Por lo tanto, es fundamental entender cómo el IGV impacta la percepción económica de los comerciantes en Perú en comparación con las vivencias de otras naciones de la zona, lo que permitirá identificar patrones y posibles áreas de mejora en la administración fiscal y en a conexión entre el sistema fiscal y la actividad económica.</w:t>
      </w:r>
    </w:p>
    <w:p>
      <w:pPr>
        <w:pStyle w:val="BodyText"/>
        <w:spacing w:line="480" w:lineRule="auto" w:before="2"/>
        <w:ind w:left="569" w:right="989" w:firstLine="720"/>
        <w:jc w:val="both"/>
      </w:pPr>
      <w:r>
        <w:rPr/>
        <w:t>En el ámbito nacional, el Gravamen General a las Ventas (IGV) se erige como un</w:t>
      </w:r>
      <w:r>
        <w:rPr>
          <w:spacing w:val="-5"/>
        </w:rPr>
        <w:t> </w:t>
      </w:r>
      <w:r>
        <w:rPr/>
        <w:t>tributo</w:t>
      </w:r>
      <w:r>
        <w:rPr>
          <w:spacing w:val="-5"/>
        </w:rPr>
        <w:t> </w:t>
      </w:r>
      <w:r>
        <w:rPr/>
        <w:t>fundamental</w:t>
      </w:r>
      <w:r>
        <w:rPr>
          <w:spacing w:val="-7"/>
        </w:rPr>
        <w:t> </w:t>
      </w:r>
      <w:r>
        <w:rPr/>
        <w:t>que</w:t>
      </w:r>
      <w:r>
        <w:rPr>
          <w:spacing w:val="-6"/>
        </w:rPr>
        <w:t> </w:t>
      </w:r>
      <w:r>
        <w:rPr/>
        <w:t>impone</w:t>
      </w:r>
      <w:r>
        <w:rPr>
          <w:spacing w:val="-6"/>
        </w:rPr>
        <w:t> </w:t>
      </w:r>
      <w:r>
        <w:rPr/>
        <w:t>un</w:t>
      </w:r>
      <w:r>
        <w:rPr>
          <w:spacing w:val="-5"/>
        </w:rPr>
        <w:t> </w:t>
      </w:r>
      <w:r>
        <w:rPr/>
        <w:t>cargo</w:t>
      </w:r>
      <w:r>
        <w:rPr>
          <w:spacing w:val="-5"/>
        </w:rPr>
        <w:t> </w:t>
      </w:r>
      <w:r>
        <w:rPr/>
        <w:t>sobre</w:t>
      </w:r>
      <w:r>
        <w:rPr>
          <w:spacing w:val="-6"/>
        </w:rPr>
        <w:t> </w:t>
      </w:r>
      <w:r>
        <w:rPr/>
        <w:t>el</w:t>
      </w:r>
      <w:r>
        <w:rPr>
          <w:spacing w:val="-7"/>
        </w:rPr>
        <w:t> </w:t>
      </w:r>
      <w:r>
        <w:rPr/>
        <w:t>valor</w:t>
      </w:r>
      <w:r>
        <w:rPr>
          <w:spacing w:val="-5"/>
        </w:rPr>
        <w:t> </w:t>
      </w:r>
      <w:r>
        <w:rPr/>
        <w:t>de</w:t>
      </w:r>
      <w:r>
        <w:rPr>
          <w:spacing w:val="-6"/>
        </w:rPr>
        <w:t> </w:t>
      </w:r>
      <w:r>
        <w:rPr/>
        <w:t>las</w:t>
      </w:r>
      <w:r>
        <w:rPr>
          <w:spacing w:val="-5"/>
        </w:rPr>
        <w:t> </w:t>
      </w:r>
      <w:r>
        <w:rPr/>
        <w:t>ventas</w:t>
      </w:r>
      <w:r>
        <w:rPr>
          <w:spacing w:val="-5"/>
        </w:rPr>
        <w:t> </w:t>
      </w:r>
      <w:r>
        <w:rPr/>
        <w:t>de</w:t>
      </w:r>
      <w:r>
        <w:rPr>
          <w:spacing w:val="-6"/>
        </w:rPr>
        <w:t> </w:t>
      </w:r>
      <w:r>
        <w:rPr/>
        <w:t>productos</w:t>
      </w:r>
      <w:r>
        <w:rPr>
          <w:spacing w:val="-5"/>
        </w:rPr>
        <w:t> </w:t>
      </w:r>
      <w:r>
        <w:rPr/>
        <w:t>y servicios, diseñado por el gobierno peruano para estimular la actividad económica y brindar</w:t>
      </w:r>
      <w:r>
        <w:rPr>
          <w:spacing w:val="-6"/>
        </w:rPr>
        <w:t> </w:t>
      </w:r>
      <w:r>
        <w:rPr/>
        <w:t>beneficios</w:t>
      </w:r>
      <w:r>
        <w:rPr>
          <w:spacing w:val="-6"/>
        </w:rPr>
        <w:t> </w:t>
      </w:r>
      <w:r>
        <w:rPr/>
        <w:t>a</w:t>
      </w:r>
      <w:r>
        <w:rPr>
          <w:spacing w:val="-5"/>
        </w:rPr>
        <w:t> </w:t>
      </w:r>
      <w:r>
        <w:rPr/>
        <w:t>los</w:t>
      </w:r>
      <w:r>
        <w:rPr>
          <w:spacing w:val="-6"/>
        </w:rPr>
        <w:t> </w:t>
      </w:r>
      <w:r>
        <w:rPr/>
        <w:t>comerciantes.</w:t>
      </w:r>
      <w:r>
        <w:rPr>
          <w:spacing w:val="-6"/>
        </w:rPr>
        <w:t> </w:t>
      </w:r>
      <w:r>
        <w:rPr/>
        <w:t>Este</w:t>
      </w:r>
      <w:r>
        <w:rPr>
          <w:spacing w:val="-7"/>
        </w:rPr>
        <w:t> </w:t>
      </w:r>
      <w:r>
        <w:rPr/>
        <w:t>impuesto,</w:t>
      </w:r>
      <w:r>
        <w:rPr>
          <w:spacing w:val="-5"/>
        </w:rPr>
        <w:t> </w:t>
      </w:r>
      <w:r>
        <w:rPr/>
        <w:t>que</w:t>
      </w:r>
      <w:r>
        <w:rPr>
          <w:spacing w:val="-7"/>
        </w:rPr>
        <w:t> </w:t>
      </w:r>
      <w:r>
        <w:rPr/>
        <w:t>se</w:t>
      </w:r>
      <w:r>
        <w:rPr>
          <w:spacing w:val="-4"/>
        </w:rPr>
        <w:t> </w:t>
      </w:r>
      <w:r>
        <w:rPr/>
        <w:t>aplica</w:t>
      </w:r>
      <w:r>
        <w:rPr>
          <w:spacing w:val="-6"/>
        </w:rPr>
        <w:t> </w:t>
      </w:r>
      <w:r>
        <w:rPr/>
        <w:t>en</w:t>
      </w:r>
      <w:r>
        <w:rPr>
          <w:spacing w:val="-7"/>
        </w:rPr>
        <w:t> </w:t>
      </w:r>
      <w:r>
        <w:rPr/>
        <w:t>el</w:t>
      </w:r>
      <w:r>
        <w:rPr>
          <w:spacing w:val="-7"/>
        </w:rPr>
        <w:t> </w:t>
      </w:r>
      <w:r>
        <w:rPr/>
        <w:t>momento</w:t>
      </w:r>
      <w:r>
        <w:rPr>
          <w:spacing w:val="-7"/>
        </w:rPr>
        <w:t> </w:t>
      </w:r>
      <w:r>
        <w:rPr/>
        <w:t>de</w:t>
      </w:r>
      <w:r>
        <w:rPr>
          <w:spacing w:val="-7"/>
        </w:rPr>
        <w:t> </w:t>
      </w:r>
      <w:r>
        <w:rPr/>
        <w:t>la adquisición, es percibido por los ciudadanos como un costo inherente a la compra de productos y servicios, con una tasa total del 18%, compuesta por un 16% correspondiente</w:t>
      </w:r>
      <w:r>
        <w:rPr>
          <w:spacing w:val="-10"/>
        </w:rPr>
        <w:t> </w:t>
      </w:r>
      <w:r>
        <w:rPr/>
        <w:t>al</w:t>
      </w:r>
      <w:r>
        <w:rPr>
          <w:spacing w:val="-10"/>
        </w:rPr>
        <w:t> </w:t>
      </w:r>
      <w:r>
        <w:rPr/>
        <w:t>IGV</w:t>
      </w:r>
      <w:r>
        <w:rPr>
          <w:spacing w:val="-9"/>
        </w:rPr>
        <w:t> </w:t>
      </w:r>
      <w:r>
        <w:rPr/>
        <w:t>y</w:t>
      </w:r>
      <w:r>
        <w:rPr>
          <w:spacing w:val="-9"/>
        </w:rPr>
        <w:t> </w:t>
      </w:r>
      <w:r>
        <w:rPr/>
        <w:t>un</w:t>
      </w:r>
      <w:r>
        <w:rPr>
          <w:spacing w:val="-11"/>
        </w:rPr>
        <w:t> </w:t>
      </w:r>
      <w:r>
        <w:rPr/>
        <w:t>2%</w:t>
      </w:r>
      <w:r>
        <w:rPr>
          <w:spacing w:val="-8"/>
        </w:rPr>
        <w:t> </w:t>
      </w:r>
      <w:r>
        <w:rPr/>
        <w:t>al</w:t>
      </w:r>
      <w:r>
        <w:rPr>
          <w:spacing w:val="-11"/>
        </w:rPr>
        <w:t> </w:t>
      </w:r>
      <w:r>
        <w:rPr/>
        <w:t>Gravamen</w:t>
      </w:r>
      <w:r>
        <w:rPr>
          <w:spacing w:val="-10"/>
        </w:rPr>
        <w:t> </w:t>
      </w:r>
      <w:r>
        <w:rPr/>
        <w:t>de</w:t>
      </w:r>
      <w:r>
        <w:rPr>
          <w:spacing w:val="-10"/>
        </w:rPr>
        <w:t> </w:t>
      </w:r>
      <w:r>
        <w:rPr/>
        <w:t>Fomento</w:t>
      </w:r>
      <w:r>
        <w:rPr>
          <w:spacing w:val="-9"/>
        </w:rPr>
        <w:t> </w:t>
      </w:r>
      <w:r>
        <w:rPr/>
        <w:t>Municipal</w:t>
      </w:r>
      <w:r>
        <w:rPr>
          <w:spacing w:val="-9"/>
        </w:rPr>
        <w:t> </w:t>
      </w:r>
      <w:r>
        <w:rPr>
          <w:spacing w:val="-2"/>
        </w:rPr>
        <w:t>(Superintendencia</w:t>
      </w:r>
    </w:p>
    <w:p>
      <w:pPr>
        <w:pStyle w:val="BodyText"/>
        <w:spacing w:after="0" w:line="480" w:lineRule="auto"/>
        <w:jc w:val="both"/>
        <w:sectPr>
          <w:headerReference w:type="default" r:id="rId28"/>
          <w:footerReference w:type="default" r:id="rId29"/>
          <w:pgSz w:w="11910" w:h="16840"/>
          <w:pgMar w:header="0" w:footer="693" w:top="0" w:bottom="880" w:left="1559" w:right="425"/>
        </w:sectPr>
      </w:pPr>
    </w:p>
    <w:p>
      <w:pPr>
        <w:pStyle w:val="BodyText"/>
        <w:spacing w:line="480" w:lineRule="auto" w:before="66"/>
        <w:ind w:left="569" w:right="991"/>
        <w:jc w:val="both"/>
      </w:pPr>
      <w:r>
        <w:rPr/>
        <w:t>Nacional de Aduanas y de Gestión Fiscal, 2023). La recaudación generada por el IGV constituye un origen significativo de recursos para el Estado, siendo utilizada para sostener iniciativas de infraestructura y prestaciones públicas que afectan directamente </w:t>
      </w:r>
      <w:r>
        <w:rPr>
          <w:spacing w:val="-2"/>
        </w:rPr>
        <w:t>la</w:t>
      </w:r>
      <w:r>
        <w:rPr>
          <w:spacing w:val="-8"/>
        </w:rPr>
        <w:t> </w:t>
      </w:r>
      <w:r>
        <w:rPr>
          <w:spacing w:val="-2"/>
        </w:rPr>
        <w:t>calidad</w:t>
      </w:r>
      <w:r>
        <w:rPr>
          <w:spacing w:val="-7"/>
        </w:rPr>
        <w:t> </w:t>
      </w:r>
      <w:r>
        <w:rPr>
          <w:spacing w:val="-2"/>
        </w:rPr>
        <w:t>de</w:t>
      </w:r>
      <w:r>
        <w:rPr>
          <w:spacing w:val="-7"/>
        </w:rPr>
        <w:t> </w:t>
      </w:r>
      <w:r>
        <w:rPr>
          <w:spacing w:val="-2"/>
        </w:rPr>
        <w:t>vida</w:t>
      </w:r>
      <w:r>
        <w:rPr>
          <w:spacing w:val="-7"/>
        </w:rPr>
        <w:t> </w:t>
      </w:r>
      <w:r>
        <w:rPr>
          <w:spacing w:val="-2"/>
        </w:rPr>
        <w:t>de</w:t>
      </w:r>
      <w:r>
        <w:rPr>
          <w:spacing w:val="-7"/>
        </w:rPr>
        <w:t> </w:t>
      </w:r>
      <w:r>
        <w:rPr>
          <w:spacing w:val="-2"/>
        </w:rPr>
        <w:t>la</w:t>
      </w:r>
      <w:r>
        <w:rPr>
          <w:spacing w:val="-8"/>
        </w:rPr>
        <w:t> </w:t>
      </w:r>
      <w:r>
        <w:rPr>
          <w:spacing w:val="-2"/>
        </w:rPr>
        <w:t>ciudadanía.</w:t>
      </w:r>
      <w:r>
        <w:rPr>
          <w:spacing w:val="-7"/>
        </w:rPr>
        <w:t> </w:t>
      </w:r>
      <w:r>
        <w:rPr>
          <w:spacing w:val="-2"/>
        </w:rPr>
        <w:t>Sin</w:t>
      </w:r>
      <w:r>
        <w:rPr>
          <w:spacing w:val="-7"/>
        </w:rPr>
        <w:t> </w:t>
      </w:r>
      <w:r>
        <w:rPr>
          <w:spacing w:val="-2"/>
        </w:rPr>
        <w:t>embargo,</w:t>
      </w:r>
      <w:r>
        <w:rPr>
          <w:spacing w:val="-7"/>
        </w:rPr>
        <w:t> </w:t>
      </w:r>
      <w:r>
        <w:rPr>
          <w:spacing w:val="-2"/>
        </w:rPr>
        <w:t>esta</w:t>
      </w:r>
      <w:r>
        <w:rPr>
          <w:spacing w:val="-8"/>
        </w:rPr>
        <w:t> </w:t>
      </w:r>
      <w:r>
        <w:rPr>
          <w:spacing w:val="-2"/>
        </w:rPr>
        <w:t>carga</w:t>
      </w:r>
      <w:r>
        <w:rPr>
          <w:spacing w:val="-7"/>
        </w:rPr>
        <w:t> </w:t>
      </w:r>
      <w:r>
        <w:rPr>
          <w:spacing w:val="-2"/>
        </w:rPr>
        <w:t>tributaria</w:t>
      </w:r>
      <w:r>
        <w:rPr>
          <w:spacing w:val="-7"/>
        </w:rPr>
        <w:t> </w:t>
      </w:r>
      <w:r>
        <w:rPr>
          <w:spacing w:val="-2"/>
        </w:rPr>
        <w:t>puede</w:t>
      </w:r>
      <w:r>
        <w:rPr>
          <w:spacing w:val="-8"/>
        </w:rPr>
        <w:t> </w:t>
      </w:r>
      <w:r>
        <w:rPr>
          <w:spacing w:val="-2"/>
        </w:rPr>
        <w:t>tener</w:t>
      </w:r>
      <w:r>
        <w:rPr>
          <w:spacing w:val="-7"/>
        </w:rPr>
        <w:t> </w:t>
      </w:r>
      <w:r>
        <w:rPr>
          <w:spacing w:val="-2"/>
        </w:rPr>
        <w:t>efectos </w:t>
      </w:r>
      <w:r>
        <w:rPr/>
        <w:t>ambivalentes en la percepción económica de los comerciantes, ya que, aunque su implementación busca fomentar el consumo y la inversión, también puede generar resistencia y descontento entre aquellos que consideran que el impuesto afecta sus márgenes de ganancia y su habilidad para rivalizar en el mercado (Delgado, 2019). En este</w:t>
      </w:r>
      <w:r>
        <w:rPr>
          <w:spacing w:val="-9"/>
        </w:rPr>
        <w:t> </w:t>
      </w:r>
      <w:r>
        <w:rPr/>
        <w:t>marco,</w:t>
      </w:r>
      <w:r>
        <w:rPr>
          <w:spacing w:val="-8"/>
        </w:rPr>
        <w:t> </w:t>
      </w:r>
      <w:r>
        <w:rPr/>
        <w:t>el</w:t>
      </w:r>
      <w:r>
        <w:rPr>
          <w:spacing w:val="-9"/>
        </w:rPr>
        <w:t> </w:t>
      </w:r>
      <w:r>
        <w:rPr/>
        <w:t>presente</w:t>
      </w:r>
      <w:r>
        <w:rPr>
          <w:spacing w:val="-9"/>
        </w:rPr>
        <w:t> </w:t>
      </w:r>
      <w:r>
        <w:rPr/>
        <w:t>estudio</w:t>
      </w:r>
      <w:r>
        <w:rPr>
          <w:spacing w:val="-8"/>
        </w:rPr>
        <w:t> </w:t>
      </w:r>
      <w:r>
        <w:rPr/>
        <w:t>tiene</w:t>
      </w:r>
      <w:r>
        <w:rPr>
          <w:spacing w:val="-9"/>
        </w:rPr>
        <w:t> </w:t>
      </w:r>
      <w:r>
        <w:rPr/>
        <w:t>como</w:t>
      </w:r>
      <w:r>
        <w:rPr>
          <w:spacing w:val="-6"/>
        </w:rPr>
        <w:t> </w:t>
      </w:r>
      <w:r>
        <w:rPr/>
        <w:t>objetivo</w:t>
      </w:r>
      <w:r>
        <w:rPr>
          <w:spacing w:val="-8"/>
        </w:rPr>
        <w:t> </w:t>
      </w:r>
      <w:r>
        <w:rPr/>
        <w:t>examinar</w:t>
      </w:r>
      <w:r>
        <w:rPr>
          <w:spacing w:val="-8"/>
        </w:rPr>
        <w:t> </w:t>
      </w:r>
      <w:r>
        <w:rPr/>
        <w:t>cómo</w:t>
      </w:r>
      <w:r>
        <w:rPr>
          <w:spacing w:val="-8"/>
        </w:rPr>
        <w:t> </w:t>
      </w:r>
      <w:r>
        <w:rPr/>
        <w:t>el</w:t>
      </w:r>
      <w:r>
        <w:rPr>
          <w:spacing w:val="-9"/>
        </w:rPr>
        <w:t> </w:t>
      </w:r>
      <w:r>
        <w:rPr/>
        <w:t>IGV</w:t>
      </w:r>
      <w:r>
        <w:rPr>
          <w:spacing w:val="-7"/>
        </w:rPr>
        <w:t> </w:t>
      </w:r>
      <w:r>
        <w:rPr/>
        <w:t>influye</w:t>
      </w:r>
      <w:r>
        <w:rPr>
          <w:spacing w:val="-9"/>
        </w:rPr>
        <w:t> </w:t>
      </w:r>
      <w:r>
        <w:rPr/>
        <w:t>en</w:t>
      </w:r>
      <w:r>
        <w:rPr>
          <w:spacing w:val="-8"/>
        </w:rPr>
        <w:t> </w:t>
      </w:r>
      <w:r>
        <w:rPr/>
        <w:t>la evaluación</w:t>
      </w:r>
      <w:r>
        <w:rPr>
          <w:spacing w:val="-1"/>
        </w:rPr>
        <w:t> </w:t>
      </w:r>
      <w:r>
        <w:rPr/>
        <w:t>financiera</w:t>
      </w:r>
      <w:r>
        <w:rPr>
          <w:spacing w:val="-1"/>
        </w:rPr>
        <w:t> </w:t>
      </w:r>
      <w:r>
        <w:rPr/>
        <w:t>de</w:t>
      </w:r>
      <w:r>
        <w:rPr>
          <w:spacing w:val="-1"/>
        </w:rPr>
        <w:t> </w:t>
      </w:r>
      <w:r>
        <w:rPr/>
        <w:t>los vendedores en</w:t>
      </w:r>
      <w:r>
        <w:rPr>
          <w:spacing w:val="-1"/>
        </w:rPr>
        <w:t> </w:t>
      </w:r>
      <w:r>
        <w:rPr/>
        <w:t>el</w:t>
      </w:r>
      <w:r>
        <w:rPr>
          <w:spacing w:val="-2"/>
        </w:rPr>
        <w:t> </w:t>
      </w:r>
      <w:r>
        <w:rPr/>
        <w:t>Mercado</w:t>
      </w:r>
      <w:r>
        <w:rPr>
          <w:spacing w:val="-1"/>
        </w:rPr>
        <w:t> </w:t>
      </w:r>
      <w:r>
        <w:rPr/>
        <w:t>Central</w:t>
      </w:r>
      <w:r>
        <w:rPr>
          <w:spacing w:val="-2"/>
        </w:rPr>
        <w:t> </w:t>
      </w:r>
      <w:r>
        <w:rPr/>
        <w:t>de la</w:t>
      </w:r>
      <w:r>
        <w:rPr>
          <w:spacing w:val="-2"/>
        </w:rPr>
        <w:t> </w:t>
      </w:r>
      <w:r>
        <w:rPr/>
        <w:t>ciudad</w:t>
      </w:r>
      <w:r>
        <w:rPr>
          <w:spacing w:val="-1"/>
        </w:rPr>
        <w:t> </w:t>
      </w:r>
      <w:r>
        <w:rPr/>
        <w:t>de Juliaca, en el departamento de Puno. Al abordar esta temática, se busca comprender las implicaciones de esta carga tributaria en la actividad comercial local y la dinámica del mercado, así como identificar posibles áreas de mejora en la</w:t>
      </w:r>
      <w:r>
        <w:rPr>
          <w:spacing w:val="-1"/>
        </w:rPr>
        <w:t> </w:t>
      </w:r>
      <w:r>
        <w:rPr/>
        <w:t>gestión fiscal que podrían favorecer tanto a los comerciantes como a los consumidores.</w:t>
      </w:r>
    </w:p>
    <w:p>
      <w:pPr>
        <w:pStyle w:val="BodyText"/>
        <w:spacing w:line="480" w:lineRule="auto" w:before="2"/>
        <w:ind w:left="569" w:right="987" w:firstLine="720"/>
        <w:jc w:val="both"/>
      </w:pPr>
      <w:r>
        <w:rPr/>
        <w:t>A nivel local, el Gravamen General a las Ventas (IGV) presenta una estructura variable que puede incluir diferentes tasas dependiendo del tipo de bien o servicio. En la región de Puno, ciertos productos y servicios están sujetos a una tasa estándar, mientras</w:t>
      </w:r>
      <w:r>
        <w:rPr>
          <w:spacing w:val="-7"/>
        </w:rPr>
        <w:t> </w:t>
      </w:r>
      <w:r>
        <w:rPr/>
        <w:t>que</w:t>
      </w:r>
      <w:r>
        <w:rPr>
          <w:spacing w:val="-8"/>
        </w:rPr>
        <w:t> </w:t>
      </w:r>
      <w:r>
        <w:rPr/>
        <w:t>otros</w:t>
      </w:r>
      <w:r>
        <w:rPr>
          <w:spacing w:val="-7"/>
        </w:rPr>
        <w:t> </w:t>
      </w:r>
      <w:r>
        <w:rPr/>
        <w:t>pueden</w:t>
      </w:r>
      <w:r>
        <w:rPr>
          <w:spacing w:val="-8"/>
        </w:rPr>
        <w:t> </w:t>
      </w:r>
      <w:r>
        <w:rPr/>
        <w:t>estar</w:t>
      </w:r>
      <w:r>
        <w:rPr>
          <w:spacing w:val="-5"/>
        </w:rPr>
        <w:t> </w:t>
      </w:r>
      <w:r>
        <w:rPr/>
        <w:t>exentos</w:t>
      </w:r>
      <w:r>
        <w:rPr>
          <w:spacing w:val="-5"/>
        </w:rPr>
        <w:t> </w:t>
      </w:r>
      <w:r>
        <w:rPr/>
        <w:t>o</w:t>
      </w:r>
      <w:r>
        <w:rPr>
          <w:spacing w:val="-8"/>
        </w:rPr>
        <w:t> </w:t>
      </w:r>
      <w:r>
        <w:rPr/>
        <w:t>beneficiarse</w:t>
      </w:r>
      <w:r>
        <w:rPr>
          <w:spacing w:val="-8"/>
        </w:rPr>
        <w:t> </w:t>
      </w:r>
      <w:r>
        <w:rPr/>
        <w:t>de</w:t>
      </w:r>
      <w:r>
        <w:rPr>
          <w:spacing w:val="-6"/>
        </w:rPr>
        <w:t> </w:t>
      </w:r>
      <w:r>
        <w:rPr/>
        <w:t>tasas</w:t>
      </w:r>
      <w:r>
        <w:rPr>
          <w:spacing w:val="-7"/>
        </w:rPr>
        <w:t> </w:t>
      </w:r>
      <w:r>
        <w:rPr/>
        <w:t>reducidas,</w:t>
      </w:r>
      <w:r>
        <w:rPr>
          <w:spacing w:val="-7"/>
        </w:rPr>
        <w:t> </w:t>
      </w:r>
      <w:r>
        <w:rPr/>
        <w:t>lo</w:t>
      </w:r>
      <w:r>
        <w:rPr>
          <w:spacing w:val="-8"/>
        </w:rPr>
        <w:t> </w:t>
      </w:r>
      <w:r>
        <w:rPr/>
        <w:t>que</w:t>
      </w:r>
      <w:r>
        <w:rPr>
          <w:spacing w:val="-8"/>
        </w:rPr>
        <w:t> </w:t>
      </w:r>
      <w:r>
        <w:rPr/>
        <w:t>refleja la</w:t>
      </w:r>
      <w:r>
        <w:rPr>
          <w:spacing w:val="-15"/>
        </w:rPr>
        <w:t> </w:t>
      </w:r>
      <w:r>
        <w:rPr/>
        <w:t>diversidad</w:t>
      </w:r>
      <w:r>
        <w:rPr>
          <w:spacing w:val="-15"/>
        </w:rPr>
        <w:t> </w:t>
      </w:r>
      <w:r>
        <w:rPr/>
        <w:t>del</w:t>
      </w:r>
      <w:r>
        <w:rPr>
          <w:spacing w:val="-15"/>
        </w:rPr>
        <w:t> </w:t>
      </w:r>
      <w:r>
        <w:rPr/>
        <w:t>mercado</w:t>
      </w:r>
      <w:r>
        <w:rPr>
          <w:spacing w:val="-15"/>
        </w:rPr>
        <w:t> </w:t>
      </w:r>
      <w:r>
        <w:rPr/>
        <w:t>y</w:t>
      </w:r>
      <w:r>
        <w:rPr>
          <w:spacing w:val="-15"/>
        </w:rPr>
        <w:t> </w:t>
      </w:r>
      <w:r>
        <w:rPr/>
        <w:t>las</w:t>
      </w:r>
      <w:r>
        <w:rPr>
          <w:spacing w:val="-15"/>
        </w:rPr>
        <w:t> </w:t>
      </w:r>
      <w:r>
        <w:rPr/>
        <w:t>particularidades</w:t>
      </w:r>
      <w:r>
        <w:rPr>
          <w:spacing w:val="-15"/>
        </w:rPr>
        <w:t> </w:t>
      </w:r>
      <w:r>
        <w:rPr/>
        <w:t>económicas</w:t>
      </w:r>
      <w:r>
        <w:rPr>
          <w:spacing w:val="-15"/>
        </w:rPr>
        <w:t> </w:t>
      </w:r>
      <w:r>
        <w:rPr/>
        <w:t>de</w:t>
      </w:r>
      <w:r>
        <w:rPr>
          <w:spacing w:val="-15"/>
        </w:rPr>
        <w:t> </w:t>
      </w:r>
      <w:r>
        <w:rPr/>
        <w:t>la</w:t>
      </w:r>
      <w:r>
        <w:rPr>
          <w:spacing w:val="-15"/>
        </w:rPr>
        <w:t> </w:t>
      </w:r>
      <w:r>
        <w:rPr/>
        <w:t>zona.</w:t>
      </w:r>
      <w:r>
        <w:rPr>
          <w:spacing w:val="-15"/>
        </w:rPr>
        <w:t> </w:t>
      </w:r>
      <w:r>
        <w:rPr/>
        <w:t>Esta</w:t>
      </w:r>
      <w:r>
        <w:rPr>
          <w:spacing w:val="-15"/>
        </w:rPr>
        <w:t> </w:t>
      </w:r>
      <w:r>
        <w:rPr/>
        <w:t>variabilidad en las tasas de impuesto subraya la necesidad de que los comerciantes y consumidores estén informados sobre las disposiciones fiscales vigentes, ya que la falta de conocimiento</w:t>
      </w:r>
      <w:r>
        <w:rPr>
          <w:spacing w:val="-9"/>
        </w:rPr>
        <w:t> </w:t>
      </w:r>
      <w:r>
        <w:rPr/>
        <w:t>podría</w:t>
      </w:r>
      <w:r>
        <w:rPr>
          <w:spacing w:val="-10"/>
        </w:rPr>
        <w:t> </w:t>
      </w:r>
      <w:r>
        <w:rPr/>
        <w:t>afectar</w:t>
      </w:r>
      <w:r>
        <w:rPr>
          <w:spacing w:val="-10"/>
        </w:rPr>
        <w:t> </w:t>
      </w:r>
      <w:r>
        <w:rPr/>
        <w:t>sus</w:t>
      </w:r>
      <w:r>
        <w:rPr>
          <w:spacing w:val="-9"/>
        </w:rPr>
        <w:t> </w:t>
      </w:r>
      <w:r>
        <w:rPr/>
        <w:t>decisiones</w:t>
      </w:r>
      <w:r>
        <w:rPr>
          <w:spacing w:val="-9"/>
        </w:rPr>
        <w:t> </w:t>
      </w:r>
      <w:r>
        <w:rPr/>
        <w:t>de</w:t>
      </w:r>
      <w:r>
        <w:rPr>
          <w:spacing w:val="-10"/>
        </w:rPr>
        <w:t> </w:t>
      </w:r>
      <w:r>
        <w:rPr/>
        <w:t>compra</w:t>
      </w:r>
      <w:r>
        <w:rPr>
          <w:spacing w:val="-10"/>
        </w:rPr>
        <w:t> </w:t>
      </w:r>
      <w:r>
        <w:rPr/>
        <w:t>y</w:t>
      </w:r>
      <w:r>
        <w:rPr>
          <w:spacing w:val="-9"/>
        </w:rPr>
        <w:t> </w:t>
      </w:r>
      <w:r>
        <w:rPr/>
        <w:t>venta.</w:t>
      </w:r>
      <w:r>
        <w:rPr>
          <w:spacing w:val="-8"/>
        </w:rPr>
        <w:t> </w:t>
      </w:r>
      <w:r>
        <w:rPr/>
        <w:t>Además,</w:t>
      </w:r>
      <w:r>
        <w:rPr>
          <w:spacing w:val="-9"/>
        </w:rPr>
        <w:t> </w:t>
      </w:r>
      <w:r>
        <w:rPr/>
        <w:t>es</w:t>
      </w:r>
      <w:r>
        <w:rPr>
          <w:spacing w:val="-9"/>
        </w:rPr>
        <w:t> </w:t>
      </w:r>
      <w:r>
        <w:rPr/>
        <w:t>fundamental considerar que las regulaciones tributarias pueden experimentar cambios a lo largo del tiempo, lo que implica la necesidad de consultar regularmente fuentes oficiales para obtener</w:t>
      </w:r>
      <w:r>
        <w:rPr>
          <w:spacing w:val="-17"/>
        </w:rPr>
        <w:t> </w:t>
      </w:r>
      <w:r>
        <w:rPr/>
        <w:t>información</w:t>
      </w:r>
      <w:r>
        <w:rPr>
          <w:spacing w:val="-15"/>
        </w:rPr>
        <w:t> </w:t>
      </w:r>
      <w:r>
        <w:rPr/>
        <w:t>actualizada</w:t>
      </w:r>
      <w:r>
        <w:rPr>
          <w:spacing w:val="-15"/>
        </w:rPr>
        <w:t> </w:t>
      </w:r>
      <w:r>
        <w:rPr/>
        <w:t>sobre</w:t>
      </w:r>
      <w:r>
        <w:rPr>
          <w:spacing w:val="-14"/>
        </w:rPr>
        <w:t> </w:t>
      </w:r>
      <w:r>
        <w:rPr/>
        <w:t>la</w:t>
      </w:r>
      <w:r>
        <w:rPr>
          <w:spacing w:val="-15"/>
        </w:rPr>
        <w:t> </w:t>
      </w:r>
      <w:r>
        <w:rPr/>
        <w:t>aplicación</w:t>
      </w:r>
      <w:r>
        <w:rPr>
          <w:spacing w:val="-14"/>
        </w:rPr>
        <w:t> </w:t>
      </w:r>
      <w:r>
        <w:rPr/>
        <w:t>del</w:t>
      </w:r>
      <w:r>
        <w:rPr>
          <w:spacing w:val="-15"/>
        </w:rPr>
        <w:t> </w:t>
      </w:r>
      <w:r>
        <w:rPr/>
        <w:t>IGV</w:t>
      </w:r>
      <w:r>
        <w:rPr>
          <w:spacing w:val="-13"/>
        </w:rPr>
        <w:t> </w:t>
      </w:r>
      <w:r>
        <w:rPr/>
        <w:t>en</w:t>
      </w:r>
      <w:r>
        <w:rPr>
          <w:spacing w:val="-15"/>
        </w:rPr>
        <w:t> </w:t>
      </w:r>
      <w:r>
        <w:rPr/>
        <w:t>Puno.</w:t>
      </w:r>
      <w:r>
        <w:rPr>
          <w:spacing w:val="-14"/>
        </w:rPr>
        <w:t> </w:t>
      </w:r>
      <w:r>
        <w:rPr/>
        <w:t>Organismos</w:t>
      </w:r>
      <w:r>
        <w:rPr>
          <w:spacing w:val="-13"/>
        </w:rPr>
        <w:t> </w:t>
      </w:r>
      <w:r>
        <w:rPr>
          <w:spacing w:val="-4"/>
        </w:rPr>
        <w:t>como</w:t>
      </w:r>
    </w:p>
    <w:p>
      <w:pPr>
        <w:pStyle w:val="BodyText"/>
        <w:spacing w:after="0" w:line="480" w:lineRule="auto"/>
        <w:jc w:val="both"/>
        <w:sectPr>
          <w:headerReference w:type="default" r:id="rId30"/>
          <w:footerReference w:type="default" r:id="rId31"/>
          <w:pgSz w:w="11910" w:h="16840"/>
          <w:pgMar w:header="0" w:footer="693" w:top="1340" w:bottom="880" w:left="1559" w:right="425"/>
          <w:pgNumType w:start="2"/>
        </w:sectPr>
      </w:pPr>
    </w:p>
    <w:p>
      <w:pPr>
        <w:pStyle w:val="BodyText"/>
        <w:spacing w:line="480" w:lineRule="auto" w:before="66"/>
        <w:ind w:left="569" w:right="993"/>
        <w:jc w:val="both"/>
      </w:pPr>
      <w:r>
        <w:rPr/>
        <w:t>el</w:t>
      </w:r>
      <w:r>
        <w:rPr>
          <w:spacing w:val="-5"/>
        </w:rPr>
        <w:t> </w:t>
      </w:r>
      <w:r>
        <w:rPr/>
        <w:t>Ministerio</w:t>
      </w:r>
      <w:r>
        <w:rPr>
          <w:spacing w:val="-3"/>
        </w:rPr>
        <w:t> </w:t>
      </w:r>
      <w:r>
        <w:rPr/>
        <w:t>de</w:t>
      </w:r>
      <w:r>
        <w:rPr>
          <w:spacing w:val="-3"/>
        </w:rPr>
        <w:t> </w:t>
      </w:r>
      <w:r>
        <w:rPr/>
        <w:t>Economía</w:t>
      </w:r>
      <w:r>
        <w:rPr>
          <w:spacing w:val="-5"/>
        </w:rPr>
        <w:t> </w:t>
      </w:r>
      <w:r>
        <w:rPr/>
        <w:t>y</w:t>
      </w:r>
      <w:r>
        <w:rPr>
          <w:spacing w:val="-3"/>
        </w:rPr>
        <w:t> </w:t>
      </w:r>
      <w:r>
        <w:rPr/>
        <w:t>Finanzas</w:t>
      </w:r>
      <w:r>
        <w:rPr>
          <w:spacing w:val="-3"/>
        </w:rPr>
        <w:t> </w:t>
      </w:r>
      <w:r>
        <w:rPr/>
        <w:t>y</w:t>
      </w:r>
      <w:r>
        <w:rPr>
          <w:spacing w:val="-3"/>
        </w:rPr>
        <w:t> </w:t>
      </w:r>
      <w:r>
        <w:rPr/>
        <w:t>la</w:t>
      </w:r>
      <w:r>
        <w:rPr>
          <w:spacing w:val="-5"/>
        </w:rPr>
        <w:t> </w:t>
      </w:r>
      <w:r>
        <w:rPr/>
        <w:t>Superintendencia</w:t>
      </w:r>
      <w:r>
        <w:rPr>
          <w:spacing w:val="-2"/>
        </w:rPr>
        <w:t> </w:t>
      </w:r>
      <w:r>
        <w:rPr/>
        <w:t>Nacional</w:t>
      </w:r>
      <w:r>
        <w:rPr>
          <w:spacing w:val="-5"/>
        </w:rPr>
        <w:t> </w:t>
      </w:r>
      <w:r>
        <w:rPr/>
        <w:t>de</w:t>
      </w:r>
      <w:r>
        <w:rPr>
          <w:spacing w:val="-3"/>
        </w:rPr>
        <w:t> </w:t>
      </w:r>
      <w:r>
        <w:rPr/>
        <w:t>Aduanas</w:t>
      </w:r>
      <w:r>
        <w:rPr>
          <w:spacing w:val="-3"/>
        </w:rPr>
        <w:t> </w:t>
      </w:r>
      <w:r>
        <w:rPr/>
        <w:t>y</w:t>
      </w:r>
      <w:r>
        <w:rPr>
          <w:spacing w:val="-3"/>
        </w:rPr>
        <w:t> </w:t>
      </w:r>
      <w:r>
        <w:rPr/>
        <w:t>de Gestión Fiscal (SUNAT) son recursos clave para acceder a estos datos, permitiendo a los actores económicos adaptarse a las normativas y optimizar su desempeño en un entorno comercial en constante evolución.</w:t>
      </w:r>
    </w:p>
    <w:p>
      <w:pPr>
        <w:pStyle w:val="Heading3"/>
        <w:numPr>
          <w:ilvl w:val="1"/>
          <w:numId w:val="8"/>
        </w:numPr>
        <w:tabs>
          <w:tab w:pos="568" w:val="left" w:leader="none"/>
        </w:tabs>
        <w:spacing w:line="240" w:lineRule="auto" w:before="1" w:after="0"/>
        <w:ind w:left="568" w:right="0" w:hanging="425"/>
        <w:jc w:val="both"/>
      </w:pPr>
      <w:bookmarkStart w:name="_bookmark10" w:id="11"/>
      <w:bookmarkEnd w:id="11"/>
      <w:r>
        <w:rPr>
          <w:b w:val="0"/>
        </w:rPr>
      </w:r>
      <w:r>
        <w:rPr/>
        <w:t>Delimitación</w:t>
      </w:r>
      <w:r>
        <w:rPr>
          <w:spacing w:val="-2"/>
        </w:rPr>
        <w:t> </w:t>
      </w:r>
      <w:r>
        <w:rPr/>
        <w:t>de</w:t>
      </w:r>
      <w:r>
        <w:rPr>
          <w:spacing w:val="-1"/>
        </w:rPr>
        <w:t> </w:t>
      </w:r>
      <w:r>
        <w:rPr/>
        <w:t>la</w:t>
      </w:r>
      <w:r>
        <w:rPr>
          <w:spacing w:val="-2"/>
        </w:rPr>
        <w:t> investigación</w:t>
      </w:r>
    </w:p>
    <w:p>
      <w:pPr>
        <w:pStyle w:val="Heading4"/>
        <w:numPr>
          <w:ilvl w:val="2"/>
          <w:numId w:val="8"/>
        </w:numPr>
        <w:tabs>
          <w:tab w:pos="1033" w:val="left" w:leader="none"/>
        </w:tabs>
        <w:spacing w:line="240" w:lineRule="auto" w:before="276" w:after="0"/>
        <w:ind w:left="1033" w:right="0" w:hanging="606"/>
        <w:jc w:val="both"/>
      </w:pPr>
      <w:bookmarkStart w:name="_bookmark11" w:id="12"/>
      <w:bookmarkEnd w:id="12"/>
      <w:r>
        <w:rPr>
          <w:b w:val="0"/>
          <w:i w:val="0"/>
        </w:rPr>
      </w:r>
      <w:r>
        <w:rPr/>
        <w:t>Delimitación</w:t>
      </w:r>
      <w:r>
        <w:rPr>
          <w:spacing w:val="-8"/>
        </w:rPr>
        <w:t> </w:t>
      </w:r>
      <w:r>
        <w:rPr>
          <w:spacing w:val="-2"/>
        </w:rPr>
        <w:t>espacial</w:t>
      </w:r>
    </w:p>
    <w:p>
      <w:pPr>
        <w:pStyle w:val="BodyText"/>
        <w:spacing w:line="480" w:lineRule="auto" w:before="276"/>
        <w:ind w:left="995" w:right="987" w:firstLine="780"/>
        <w:jc w:val="both"/>
      </w:pPr>
      <w:r>
        <w:rPr/>
        <w:t>La investigación se llevará a cabo en el Centro de Abastos Las Mercedes, ubicado</w:t>
      </w:r>
      <w:r>
        <w:rPr>
          <w:spacing w:val="-15"/>
        </w:rPr>
        <w:t> </w:t>
      </w:r>
      <w:r>
        <w:rPr/>
        <w:t>en</w:t>
      </w:r>
      <w:r>
        <w:rPr>
          <w:spacing w:val="-15"/>
        </w:rPr>
        <w:t> </w:t>
      </w:r>
      <w:r>
        <w:rPr/>
        <w:t>la</w:t>
      </w:r>
      <w:r>
        <w:rPr>
          <w:spacing w:val="-15"/>
        </w:rPr>
        <w:t> </w:t>
      </w:r>
      <w:r>
        <w:rPr/>
        <w:t>ciudad</w:t>
      </w:r>
      <w:r>
        <w:rPr>
          <w:spacing w:val="-15"/>
        </w:rPr>
        <w:t> </w:t>
      </w:r>
      <w:r>
        <w:rPr/>
        <w:t>de</w:t>
      </w:r>
      <w:r>
        <w:rPr>
          <w:spacing w:val="-15"/>
        </w:rPr>
        <w:t> </w:t>
      </w:r>
      <w:r>
        <w:rPr/>
        <w:t>Juliaca,</w:t>
      </w:r>
      <w:r>
        <w:rPr>
          <w:spacing w:val="-15"/>
        </w:rPr>
        <w:t> </w:t>
      </w:r>
      <w:r>
        <w:rPr/>
        <w:t>región</w:t>
      </w:r>
      <w:r>
        <w:rPr>
          <w:spacing w:val="-15"/>
        </w:rPr>
        <w:t> </w:t>
      </w:r>
      <w:r>
        <w:rPr/>
        <w:t>Puno.</w:t>
      </w:r>
      <w:r>
        <w:rPr>
          <w:spacing w:val="-15"/>
        </w:rPr>
        <w:t> </w:t>
      </w:r>
      <w:r>
        <w:rPr/>
        <w:t>Este</w:t>
      </w:r>
      <w:r>
        <w:rPr>
          <w:spacing w:val="-15"/>
        </w:rPr>
        <w:t> </w:t>
      </w:r>
      <w:r>
        <w:rPr/>
        <w:t>mercado</w:t>
      </w:r>
      <w:r>
        <w:rPr>
          <w:spacing w:val="-15"/>
        </w:rPr>
        <w:t> </w:t>
      </w:r>
      <w:r>
        <w:rPr/>
        <w:t>es</w:t>
      </w:r>
      <w:r>
        <w:rPr>
          <w:spacing w:val="-15"/>
        </w:rPr>
        <w:t> </w:t>
      </w:r>
      <w:r>
        <w:rPr/>
        <w:t>uno</w:t>
      </w:r>
      <w:r>
        <w:rPr>
          <w:spacing w:val="-15"/>
        </w:rPr>
        <w:t> </w:t>
      </w:r>
      <w:r>
        <w:rPr/>
        <w:t>de</w:t>
      </w:r>
      <w:r>
        <w:rPr>
          <w:spacing w:val="-15"/>
        </w:rPr>
        <w:t> </w:t>
      </w:r>
      <w:r>
        <w:rPr/>
        <w:t>los</w:t>
      </w:r>
      <w:r>
        <w:rPr>
          <w:spacing w:val="-15"/>
        </w:rPr>
        <w:t> </w:t>
      </w:r>
      <w:r>
        <w:rPr/>
        <w:t>principales puntos de actividad comercial en la zona, concentrando a una gran cantidad de comerciantes dedicados a diversas actividades económicas.</w:t>
      </w:r>
    </w:p>
    <w:p>
      <w:pPr>
        <w:pStyle w:val="Heading4"/>
        <w:numPr>
          <w:ilvl w:val="2"/>
          <w:numId w:val="8"/>
        </w:numPr>
        <w:tabs>
          <w:tab w:pos="1033" w:val="left" w:leader="none"/>
        </w:tabs>
        <w:spacing w:line="240" w:lineRule="auto" w:before="0" w:after="0"/>
        <w:ind w:left="1033" w:right="0" w:hanging="606"/>
        <w:jc w:val="both"/>
      </w:pPr>
      <w:bookmarkStart w:name="_bookmark12" w:id="13"/>
      <w:bookmarkEnd w:id="13"/>
      <w:r>
        <w:rPr>
          <w:b w:val="0"/>
          <w:i w:val="0"/>
        </w:rPr>
      </w:r>
      <w:r>
        <w:rPr/>
        <w:t>Delimitación</w:t>
      </w:r>
      <w:r>
        <w:rPr>
          <w:spacing w:val="-6"/>
        </w:rPr>
        <w:t> </w:t>
      </w:r>
      <w:r>
        <w:rPr>
          <w:spacing w:val="-2"/>
        </w:rPr>
        <w:t>social</w:t>
      </w:r>
    </w:p>
    <w:p>
      <w:pPr>
        <w:pStyle w:val="BodyText"/>
        <w:rPr>
          <w:b/>
          <w:i/>
        </w:rPr>
      </w:pPr>
    </w:p>
    <w:p>
      <w:pPr>
        <w:pStyle w:val="BodyText"/>
        <w:spacing w:line="480" w:lineRule="auto" w:before="1"/>
        <w:ind w:left="995" w:right="989" w:firstLine="720"/>
        <w:jc w:val="both"/>
      </w:pPr>
      <w:r>
        <w:rPr/>
        <w:t>La</w:t>
      </w:r>
      <w:r>
        <w:rPr>
          <w:spacing w:val="-13"/>
        </w:rPr>
        <w:t> </w:t>
      </w:r>
      <w:r>
        <w:rPr/>
        <w:t>población</w:t>
      </w:r>
      <w:r>
        <w:rPr>
          <w:spacing w:val="-11"/>
        </w:rPr>
        <w:t> </w:t>
      </w:r>
      <w:r>
        <w:rPr/>
        <w:t>de</w:t>
      </w:r>
      <w:r>
        <w:rPr>
          <w:spacing w:val="-12"/>
        </w:rPr>
        <w:t> </w:t>
      </w:r>
      <w:r>
        <w:rPr/>
        <w:t>estudio</w:t>
      </w:r>
      <w:r>
        <w:rPr>
          <w:spacing w:val="-11"/>
        </w:rPr>
        <w:t> </w:t>
      </w:r>
      <w:r>
        <w:rPr/>
        <w:t>está</w:t>
      </w:r>
      <w:r>
        <w:rPr>
          <w:spacing w:val="-11"/>
        </w:rPr>
        <w:t> </w:t>
      </w:r>
      <w:r>
        <w:rPr/>
        <w:t>constituida</w:t>
      </w:r>
      <w:r>
        <w:rPr>
          <w:spacing w:val="-12"/>
        </w:rPr>
        <w:t> </w:t>
      </w:r>
      <w:r>
        <w:rPr/>
        <w:t>por</w:t>
      </w:r>
      <w:r>
        <w:rPr>
          <w:spacing w:val="-11"/>
        </w:rPr>
        <w:t> </w:t>
      </w:r>
      <w:r>
        <w:rPr/>
        <w:t>los</w:t>
      </w:r>
      <w:r>
        <w:rPr>
          <w:spacing w:val="-11"/>
        </w:rPr>
        <w:t> </w:t>
      </w:r>
      <w:r>
        <w:rPr/>
        <w:t>comerciantes</w:t>
      </w:r>
      <w:r>
        <w:rPr>
          <w:spacing w:val="-11"/>
        </w:rPr>
        <w:t> </w:t>
      </w:r>
      <w:r>
        <w:rPr/>
        <w:t>que</w:t>
      </w:r>
      <w:r>
        <w:rPr>
          <w:spacing w:val="-12"/>
        </w:rPr>
        <w:t> </w:t>
      </w:r>
      <w:r>
        <w:rPr/>
        <w:t>operan</w:t>
      </w:r>
      <w:r>
        <w:rPr>
          <w:spacing w:val="-9"/>
        </w:rPr>
        <w:t> </w:t>
      </w:r>
      <w:r>
        <w:rPr/>
        <w:t>en el Centro de Abastos Las Mercedes, quienes representan diferentes rubros comerciales,</w:t>
      </w:r>
      <w:r>
        <w:rPr>
          <w:spacing w:val="-10"/>
        </w:rPr>
        <w:t> </w:t>
      </w:r>
      <w:r>
        <w:rPr/>
        <w:t>como</w:t>
      </w:r>
      <w:r>
        <w:rPr>
          <w:spacing w:val="-10"/>
        </w:rPr>
        <w:t> </w:t>
      </w:r>
      <w:r>
        <w:rPr/>
        <w:t>venta</w:t>
      </w:r>
      <w:r>
        <w:rPr>
          <w:spacing w:val="-11"/>
        </w:rPr>
        <w:t> </w:t>
      </w:r>
      <w:r>
        <w:rPr/>
        <w:t>de</w:t>
      </w:r>
      <w:r>
        <w:rPr>
          <w:spacing w:val="-11"/>
        </w:rPr>
        <w:t> </w:t>
      </w:r>
      <w:r>
        <w:rPr/>
        <w:t>alimentos,</w:t>
      </w:r>
      <w:r>
        <w:rPr>
          <w:spacing w:val="-10"/>
        </w:rPr>
        <w:t> </w:t>
      </w:r>
      <w:r>
        <w:rPr/>
        <w:t>productos</w:t>
      </w:r>
      <w:r>
        <w:rPr>
          <w:spacing w:val="-10"/>
        </w:rPr>
        <w:t> </w:t>
      </w:r>
      <w:r>
        <w:rPr/>
        <w:t>textiles,</w:t>
      </w:r>
      <w:r>
        <w:rPr>
          <w:spacing w:val="-10"/>
        </w:rPr>
        <w:t> </w:t>
      </w:r>
      <w:r>
        <w:rPr/>
        <w:t>calzado</w:t>
      </w:r>
      <w:r>
        <w:rPr>
          <w:spacing w:val="-11"/>
        </w:rPr>
        <w:t> </w:t>
      </w:r>
      <w:r>
        <w:rPr/>
        <w:t>y</w:t>
      </w:r>
      <w:r>
        <w:rPr>
          <w:spacing w:val="-10"/>
        </w:rPr>
        <w:t> </w:t>
      </w:r>
      <w:r>
        <w:rPr/>
        <w:t>otros</w:t>
      </w:r>
      <w:r>
        <w:rPr>
          <w:spacing w:val="-10"/>
        </w:rPr>
        <w:t> </w:t>
      </w:r>
      <w:r>
        <w:rPr/>
        <w:t>bienes</w:t>
      </w:r>
      <w:r>
        <w:rPr>
          <w:spacing w:val="-10"/>
        </w:rPr>
        <w:t> </w:t>
      </w:r>
      <w:r>
        <w:rPr/>
        <w:t>de consumo. Se considerarán únicamente a aquellos comerciantes formalmente registrados y que tengan una actividad económica activa en el periodo de análisis</w:t>
      </w:r>
    </w:p>
    <w:p>
      <w:pPr>
        <w:pStyle w:val="Heading4"/>
        <w:numPr>
          <w:ilvl w:val="2"/>
          <w:numId w:val="8"/>
        </w:numPr>
        <w:tabs>
          <w:tab w:pos="1033" w:val="left" w:leader="none"/>
        </w:tabs>
        <w:spacing w:line="240" w:lineRule="auto" w:before="0" w:after="0"/>
        <w:ind w:left="1033" w:right="0" w:hanging="606"/>
        <w:jc w:val="both"/>
      </w:pPr>
      <w:bookmarkStart w:name="_bookmark13" w:id="14"/>
      <w:bookmarkEnd w:id="14"/>
      <w:r>
        <w:rPr>
          <w:b w:val="0"/>
          <w:i w:val="0"/>
        </w:rPr>
      </w:r>
      <w:r>
        <w:rPr/>
        <w:t>Delimitación</w:t>
      </w:r>
      <w:r>
        <w:rPr>
          <w:spacing w:val="-6"/>
        </w:rPr>
        <w:t> </w:t>
      </w:r>
      <w:r>
        <w:rPr>
          <w:spacing w:val="-2"/>
        </w:rPr>
        <w:t>temporal</w:t>
      </w:r>
    </w:p>
    <w:p>
      <w:pPr>
        <w:pStyle w:val="BodyText"/>
        <w:rPr>
          <w:b/>
          <w:i/>
        </w:rPr>
      </w:pPr>
    </w:p>
    <w:p>
      <w:pPr>
        <w:pStyle w:val="BodyText"/>
        <w:spacing w:line="480" w:lineRule="auto"/>
        <w:ind w:left="995" w:right="993" w:firstLine="720"/>
        <w:jc w:val="both"/>
      </w:pPr>
      <w:r>
        <w:rPr/>
        <w:t>La</w:t>
      </w:r>
      <w:r>
        <w:rPr>
          <w:spacing w:val="-12"/>
        </w:rPr>
        <w:t> </w:t>
      </w:r>
      <w:r>
        <w:rPr/>
        <w:t>investigación</w:t>
      </w:r>
      <w:r>
        <w:rPr>
          <w:spacing w:val="-10"/>
        </w:rPr>
        <w:t> </w:t>
      </w:r>
      <w:r>
        <w:rPr/>
        <w:t>se</w:t>
      </w:r>
      <w:r>
        <w:rPr>
          <w:spacing w:val="-10"/>
        </w:rPr>
        <w:t> </w:t>
      </w:r>
      <w:r>
        <w:rPr/>
        <w:t>desarrollará</w:t>
      </w:r>
      <w:r>
        <w:rPr>
          <w:spacing w:val="-9"/>
        </w:rPr>
        <w:t> </w:t>
      </w:r>
      <w:r>
        <w:rPr/>
        <w:t>tomando</w:t>
      </w:r>
      <w:r>
        <w:rPr>
          <w:spacing w:val="-9"/>
        </w:rPr>
        <w:t> </w:t>
      </w:r>
      <w:r>
        <w:rPr/>
        <w:t>como</w:t>
      </w:r>
      <w:r>
        <w:rPr>
          <w:spacing w:val="-10"/>
        </w:rPr>
        <w:t> </w:t>
      </w:r>
      <w:r>
        <w:rPr/>
        <w:t>referencia</w:t>
      </w:r>
      <w:r>
        <w:rPr>
          <w:spacing w:val="-10"/>
        </w:rPr>
        <w:t> </w:t>
      </w:r>
      <w:r>
        <w:rPr/>
        <w:t>el</w:t>
      </w:r>
      <w:r>
        <w:rPr>
          <w:spacing w:val="-10"/>
        </w:rPr>
        <w:t> </w:t>
      </w:r>
      <w:r>
        <w:rPr/>
        <w:t>año</w:t>
      </w:r>
      <w:r>
        <w:rPr>
          <w:spacing w:val="-10"/>
        </w:rPr>
        <w:t> </w:t>
      </w:r>
      <w:r>
        <w:rPr/>
        <w:t>2023.</w:t>
      </w:r>
      <w:r>
        <w:rPr>
          <w:spacing w:val="-10"/>
        </w:rPr>
        <w:t> </w:t>
      </w:r>
      <w:r>
        <w:rPr/>
        <w:t>Este periodo incluye la recopilación de datos y análisis de la percepción económica de los comerciantes respecto al impacto del Impuesto General a las Ventas (IGV) en sus actividades comerciales durante ese año.</w:t>
      </w:r>
    </w:p>
    <w:p>
      <w:pPr>
        <w:pStyle w:val="Heading3"/>
        <w:numPr>
          <w:ilvl w:val="1"/>
          <w:numId w:val="8"/>
        </w:numPr>
        <w:tabs>
          <w:tab w:pos="568" w:val="left" w:leader="none"/>
        </w:tabs>
        <w:spacing w:line="240" w:lineRule="auto" w:before="0" w:after="0"/>
        <w:ind w:left="568" w:right="0" w:hanging="425"/>
        <w:jc w:val="both"/>
      </w:pPr>
      <w:bookmarkStart w:name="_bookmark14" w:id="15"/>
      <w:bookmarkEnd w:id="15"/>
      <w:r>
        <w:rPr>
          <w:b w:val="0"/>
        </w:rPr>
      </w:r>
      <w:r>
        <w:rPr/>
        <w:t>Formulación</w:t>
      </w:r>
      <w:r>
        <w:rPr>
          <w:spacing w:val="-3"/>
        </w:rPr>
        <w:t> </w:t>
      </w:r>
      <w:r>
        <w:rPr/>
        <w:t>del</w:t>
      </w:r>
      <w:r>
        <w:rPr>
          <w:spacing w:val="-3"/>
        </w:rPr>
        <w:t> </w:t>
      </w:r>
      <w:r>
        <w:rPr>
          <w:spacing w:val="-2"/>
        </w:rPr>
        <w:t>problema</w:t>
      </w:r>
    </w:p>
    <w:p>
      <w:pPr>
        <w:pStyle w:val="Heading4"/>
        <w:numPr>
          <w:ilvl w:val="2"/>
          <w:numId w:val="8"/>
        </w:numPr>
        <w:tabs>
          <w:tab w:pos="1033" w:val="left" w:leader="none"/>
        </w:tabs>
        <w:spacing w:line="240" w:lineRule="auto" w:before="274" w:after="0"/>
        <w:ind w:left="1033" w:right="0" w:hanging="606"/>
        <w:jc w:val="both"/>
      </w:pPr>
      <w:bookmarkStart w:name="_bookmark15" w:id="16"/>
      <w:bookmarkEnd w:id="16"/>
      <w:r>
        <w:rPr>
          <w:b w:val="0"/>
          <w:i w:val="0"/>
        </w:rPr>
      </w:r>
      <w:r>
        <w:rPr/>
        <w:t>Problema</w:t>
      </w:r>
      <w:r>
        <w:rPr>
          <w:spacing w:val="-5"/>
        </w:rPr>
        <w:t> </w:t>
      </w:r>
      <w:r>
        <w:rPr>
          <w:spacing w:val="-2"/>
        </w:rPr>
        <w:t>general</w:t>
      </w:r>
    </w:p>
    <w:p>
      <w:pPr>
        <w:pStyle w:val="BodyText"/>
        <w:rPr>
          <w:b/>
          <w:i/>
        </w:rPr>
      </w:pPr>
    </w:p>
    <w:p>
      <w:pPr>
        <w:pStyle w:val="BodyText"/>
        <w:spacing w:line="480" w:lineRule="auto"/>
        <w:ind w:left="995" w:right="947" w:firstLine="420"/>
      </w:pPr>
      <w:r>
        <w:rPr/>
        <w:t>¿Cuál</w:t>
      </w:r>
      <w:r>
        <w:rPr>
          <w:spacing w:val="37"/>
        </w:rPr>
        <w:t> </w:t>
      </w:r>
      <w:r>
        <w:rPr/>
        <w:t>es</w:t>
      </w:r>
      <w:r>
        <w:rPr>
          <w:spacing w:val="35"/>
        </w:rPr>
        <w:t> </w:t>
      </w:r>
      <w:r>
        <w:rPr/>
        <w:t>la</w:t>
      </w:r>
      <w:r>
        <w:rPr>
          <w:spacing w:val="36"/>
        </w:rPr>
        <w:t> </w:t>
      </w:r>
      <w:r>
        <w:rPr/>
        <w:t>influencia</w:t>
      </w:r>
      <w:r>
        <w:rPr>
          <w:spacing w:val="37"/>
        </w:rPr>
        <w:t> </w:t>
      </w:r>
      <w:r>
        <w:rPr/>
        <w:t>del</w:t>
      </w:r>
      <w:r>
        <w:rPr>
          <w:spacing w:val="36"/>
        </w:rPr>
        <w:t> </w:t>
      </w:r>
      <w:r>
        <w:rPr/>
        <w:t>impuesto</w:t>
      </w:r>
      <w:r>
        <w:rPr>
          <w:spacing w:val="36"/>
        </w:rPr>
        <w:t> </w:t>
      </w:r>
      <w:r>
        <w:rPr/>
        <w:t>general</w:t>
      </w:r>
      <w:r>
        <w:rPr>
          <w:spacing w:val="36"/>
        </w:rPr>
        <w:t> </w:t>
      </w:r>
      <w:r>
        <w:rPr/>
        <w:t>de</w:t>
      </w:r>
      <w:r>
        <w:rPr>
          <w:spacing w:val="36"/>
        </w:rPr>
        <w:t> </w:t>
      </w:r>
      <w:r>
        <w:rPr/>
        <w:t>las</w:t>
      </w:r>
      <w:r>
        <w:rPr>
          <w:spacing w:val="36"/>
        </w:rPr>
        <w:t> </w:t>
      </w:r>
      <w:r>
        <w:rPr/>
        <w:t>ventas</w:t>
      </w:r>
      <w:r>
        <w:rPr>
          <w:spacing w:val="35"/>
        </w:rPr>
        <w:t> </w:t>
      </w:r>
      <w:r>
        <w:rPr/>
        <w:t>en</w:t>
      </w:r>
      <w:r>
        <w:rPr>
          <w:spacing w:val="35"/>
        </w:rPr>
        <w:t> </w:t>
      </w:r>
      <w:r>
        <w:rPr/>
        <w:t>la</w:t>
      </w:r>
      <w:r>
        <w:rPr>
          <w:spacing w:val="35"/>
        </w:rPr>
        <w:t> </w:t>
      </w:r>
      <w:r>
        <w:rPr/>
        <w:t>percepción económica</w:t>
      </w:r>
      <w:r>
        <w:rPr>
          <w:spacing w:val="-15"/>
        </w:rPr>
        <w:t> </w:t>
      </w:r>
      <w:r>
        <w:rPr/>
        <w:t>de</w:t>
      </w:r>
      <w:r>
        <w:rPr>
          <w:spacing w:val="-15"/>
        </w:rPr>
        <w:t> </w:t>
      </w:r>
      <w:r>
        <w:rPr/>
        <w:t>los</w:t>
      </w:r>
      <w:r>
        <w:rPr>
          <w:spacing w:val="-15"/>
        </w:rPr>
        <w:t> </w:t>
      </w:r>
      <w:r>
        <w:rPr/>
        <w:t>comerciantes</w:t>
      </w:r>
      <w:r>
        <w:rPr>
          <w:spacing w:val="-15"/>
        </w:rPr>
        <w:t> </w:t>
      </w:r>
      <w:r>
        <w:rPr/>
        <w:t>del</w:t>
      </w:r>
      <w:r>
        <w:rPr>
          <w:spacing w:val="-15"/>
        </w:rPr>
        <w:t> </w:t>
      </w:r>
      <w:r>
        <w:rPr/>
        <w:t>centro</w:t>
      </w:r>
      <w:r>
        <w:rPr>
          <w:spacing w:val="-15"/>
        </w:rPr>
        <w:t> </w:t>
      </w:r>
      <w:r>
        <w:rPr/>
        <w:t>de</w:t>
      </w:r>
      <w:r>
        <w:rPr>
          <w:spacing w:val="-15"/>
        </w:rPr>
        <w:t> </w:t>
      </w:r>
      <w:r>
        <w:rPr/>
        <w:t>abastos</w:t>
      </w:r>
      <w:r>
        <w:rPr>
          <w:spacing w:val="-14"/>
        </w:rPr>
        <w:t> </w:t>
      </w:r>
      <w:r>
        <w:rPr/>
        <w:t>las</w:t>
      </w:r>
      <w:r>
        <w:rPr>
          <w:spacing w:val="-15"/>
        </w:rPr>
        <w:t> </w:t>
      </w:r>
      <w:r>
        <w:rPr/>
        <w:t>Mercedes</w:t>
      </w:r>
      <w:r>
        <w:rPr>
          <w:spacing w:val="-14"/>
        </w:rPr>
        <w:t> </w:t>
      </w:r>
      <w:r>
        <w:rPr/>
        <w:t>de</w:t>
      </w:r>
      <w:r>
        <w:rPr>
          <w:spacing w:val="-15"/>
        </w:rPr>
        <w:t> </w:t>
      </w:r>
      <w:r>
        <w:rPr/>
        <w:t>Juliaca,</w:t>
      </w:r>
      <w:r>
        <w:rPr>
          <w:spacing w:val="-15"/>
        </w:rPr>
        <w:t> </w:t>
      </w:r>
      <w:r>
        <w:rPr>
          <w:spacing w:val="-2"/>
        </w:rPr>
        <w:t>2023?</w:t>
      </w:r>
    </w:p>
    <w:p>
      <w:pPr>
        <w:pStyle w:val="BodyText"/>
        <w:spacing w:after="0" w:line="480" w:lineRule="auto"/>
        <w:sectPr>
          <w:pgSz w:w="11910" w:h="16840"/>
          <w:pgMar w:header="0" w:footer="693" w:top="1340" w:bottom="880" w:left="1559" w:right="425"/>
        </w:sectPr>
      </w:pPr>
    </w:p>
    <w:p>
      <w:pPr>
        <w:pStyle w:val="Heading4"/>
        <w:numPr>
          <w:ilvl w:val="2"/>
          <w:numId w:val="8"/>
        </w:numPr>
        <w:tabs>
          <w:tab w:pos="1033" w:val="left" w:leader="none"/>
        </w:tabs>
        <w:spacing w:line="240" w:lineRule="auto" w:before="66" w:after="0"/>
        <w:ind w:left="1033" w:right="0" w:hanging="606"/>
        <w:jc w:val="left"/>
      </w:pPr>
      <w:bookmarkStart w:name="_bookmark16" w:id="17"/>
      <w:bookmarkEnd w:id="17"/>
      <w:r>
        <w:rPr>
          <w:b w:val="0"/>
          <w:i w:val="0"/>
        </w:rPr>
      </w:r>
      <w:r>
        <w:rPr/>
        <w:t>Problemas</w:t>
      </w:r>
      <w:r>
        <w:rPr>
          <w:spacing w:val="-3"/>
        </w:rPr>
        <w:t> </w:t>
      </w:r>
      <w:r>
        <w:rPr>
          <w:spacing w:val="-2"/>
        </w:rPr>
        <w:t>específicos</w:t>
      </w:r>
    </w:p>
    <w:p>
      <w:pPr>
        <w:pStyle w:val="BodyText"/>
        <w:spacing w:before="1"/>
        <w:rPr>
          <w:b/>
          <w:i/>
        </w:rPr>
      </w:pPr>
    </w:p>
    <w:p>
      <w:pPr>
        <w:pStyle w:val="ListParagraph"/>
        <w:numPr>
          <w:ilvl w:val="3"/>
          <w:numId w:val="8"/>
        </w:numPr>
        <w:tabs>
          <w:tab w:pos="1583" w:val="left" w:leader="none"/>
        </w:tabs>
        <w:spacing w:line="465" w:lineRule="auto" w:before="0" w:after="0"/>
        <w:ind w:left="1583" w:right="995" w:hanging="360"/>
        <w:jc w:val="left"/>
        <w:rPr>
          <w:sz w:val="24"/>
        </w:rPr>
      </w:pPr>
      <w:r>
        <w:rPr>
          <w:sz w:val="24"/>
        </w:rPr>
        <w:t>¿Cuál es influencia de la estabilidad económica en la percepción económica de los comerciantes del centro de abastos las Mercedes de Juliaca, 2023?</w:t>
      </w:r>
    </w:p>
    <w:p>
      <w:pPr>
        <w:pStyle w:val="ListParagraph"/>
        <w:numPr>
          <w:ilvl w:val="3"/>
          <w:numId w:val="8"/>
        </w:numPr>
        <w:tabs>
          <w:tab w:pos="1583" w:val="left" w:leader="none"/>
        </w:tabs>
        <w:spacing w:line="463" w:lineRule="auto" w:before="16" w:after="0"/>
        <w:ind w:left="1583" w:right="995" w:hanging="360"/>
        <w:jc w:val="left"/>
        <w:rPr>
          <w:sz w:val="24"/>
        </w:rPr>
      </w:pPr>
      <w:r>
        <w:rPr>
          <w:sz w:val="24"/>
        </w:rPr>
        <w:t>¿Cuál</w:t>
      </w:r>
      <w:r>
        <w:rPr>
          <w:spacing w:val="-1"/>
          <w:sz w:val="24"/>
        </w:rPr>
        <w:t> </w:t>
      </w:r>
      <w:r>
        <w:rPr>
          <w:sz w:val="24"/>
        </w:rPr>
        <w:t>es</w:t>
      </w:r>
      <w:r>
        <w:rPr>
          <w:spacing w:val="-1"/>
          <w:sz w:val="24"/>
        </w:rPr>
        <w:t> </w:t>
      </w:r>
      <w:r>
        <w:rPr>
          <w:sz w:val="24"/>
        </w:rPr>
        <w:t>influencia</w:t>
      </w:r>
      <w:r>
        <w:rPr>
          <w:spacing w:val="-1"/>
          <w:sz w:val="24"/>
        </w:rPr>
        <w:t> </w:t>
      </w:r>
      <w:r>
        <w:rPr>
          <w:sz w:val="24"/>
        </w:rPr>
        <w:t>de</w:t>
      </w:r>
      <w:r>
        <w:rPr>
          <w:spacing w:val="-1"/>
          <w:sz w:val="24"/>
        </w:rPr>
        <w:t> </w:t>
      </w:r>
      <w:r>
        <w:rPr>
          <w:sz w:val="24"/>
        </w:rPr>
        <w:t>la</w:t>
      </w:r>
      <w:r>
        <w:rPr>
          <w:spacing w:val="-1"/>
          <w:sz w:val="24"/>
        </w:rPr>
        <w:t> </w:t>
      </w:r>
      <w:r>
        <w:rPr>
          <w:sz w:val="24"/>
        </w:rPr>
        <w:t>liquidez</w:t>
      </w:r>
      <w:r>
        <w:rPr>
          <w:spacing w:val="-1"/>
          <w:sz w:val="24"/>
        </w:rPr>
        <w:t> </w:t>
      </w:r>
      <w:r>
        <w:rPr>
          <w:sz w:val="24"/>
        </w:rPr>
        <w:t>económica</w:t>
      </w:r>
      <w:r>
        <w:rPr>
          <w:spacing w:val="-1"/>
          <w:sz w:val="24"/>
        </w:rPr>
        <w:t> </w:t>
      </w:r>
      <w:r>
        <w:rPr>
          <w:sz w:val="24"/>
        </w:rPr>
        <w:t>en</w:t>
      </w:r>
      <w:r>
        <w:rPr>
          <w:spacing w:val="-1"/>
          <w:sz w:val="24"/>
        </w:rPr>
        <w:t> </w:t>
      </w:r>
      <w:r>
        <w:rPr>
          <w:sz w:val="24"/>
        </w:rPr>
        <w:t>la</w:t>
      </w:r>
      <w:r>
        <w:rPr>
          <w:spacing w:val="-1"/>
          <w:sz w:val="24"/>
        </w:rPr>
        <w:t> </w:t>
      </w:r>
      <w:r>
        <w:rPr>
          <w:sz w:val="24"/>
        </w:rPr>
        <w:t>percepción económica</w:t>
      </w:r>
      <w:r>
        <w:rPr>
          <w:spacing w:val="-1"/>
          <w:sz w:val="24"/>
        </w:rPr>
        <w:t> </w:t>
      </w:r>
      <w:r>
        <w:rPr>
          <w:sz w:val="24"/>
        </w:rPr>
        <w:t>de los comerciantes del centro de abastos las Mercedes de Juliaca, 2023?</w:t>
      </w:r>
    </w:p>
    <w:p>
      <w:pPr>
        <w:pStyle w:val="ListParagraph"/>
        <w:numPr>
          <w:ilvl w:val="3"/>
          <w:numId w:val="8"/>
        </w:numPr>
        <w:tabs>
          <w:tab w:pos="1583" w:val="left" w:leader="none"/>
        </w:tabs>
        <w:spacing w:line="465" w:lineRule="auto" w:before="20" w:after="0"/>
        <w:ind w:left="1583" w:right="995" w:hanging="360"/>
        <w:jc w:val="left"/>
        <w:rPr>
          <w:sz w:val="24"/>
        </w:rPr>
      </w:pPr>
      <w:r>
        <w:rPr>
          <w:sz w:val="24"/>
        </w:rPr>
        <w:t>¿Cuál</w:t>
      </w:r>
      <w:r>
        <w:rPr>
          <w:spacing w:val="40"/>
          <w:sz w:val="24"/>
        </w:rPr>
        <w:t> </w:t>
      </w:r>
      <w:r>
        <w:rPr>
          <w:sz w:val="24"/>
        </w:rPr>
        <w:t>es</w:t>
      </w:r>
      <w:r>
        <w:rPr>
          <w:spacing w:val="40"/>
          <w:sz w:val="24"/>
        </w:rPr>
        <w:t> </w:t>
      </w:r>
      <w:r>
        <w:rPr>
          <w:sz w:val="24"/>
        </w:rPr>
        <w:t>influencia</w:t>
      </w:r>
      <w:r>
        <w:rPr>
          <w:spacing w:val="40"/>
          <w:sz w:val="24"/>
        </w:rPr>
        <w:t> </w:t>
      </w:r>
      <w:r>
        <w:rPr>
          <w:sz w:val="24"/>
        </w:rPr>
        <w:t>de</w:t>
      </w:r>
      <w:r>
        <w:rPr>
          <w:spacing w:val="40"/>
          <w:sz w:val="24"/>
        </w:rPr>
        <w:t> </w:t>
      </w:r>
      <w:r>
        <w:rPr>
          <w:sz w:val="24"/>
        </w:rPr>
        <w:t>la</w:t>
      </w:r>
      <w:r>
        <w:rPr>
          <w:spacing w:val="40"/>
          <w:sz w:val="24"/>
        </w:rPr>
        <w:t> </w:t>
      </w:r>
      <w:r>
        <w:rPr>
          <w:sz w:val="24"/>
        </w:rPr>
        <w:t>seguridad</w:t>
      </w:r>
      <w:r>
        <w:rPr>
          <w:spacing w:val="40"/>
          <w:sz w:val="24"/>
        </w:rPr>
        <w:t> </w:t>
      </w:r>
      <w:r>
        <w:rPr>
          <w:sz w:val="24"/>
        </w:rPr>
        <w:t>económica</w:t>
      </w:r>
      <w:r>
        <w:rPr>
          <w:spacing w:val="40"/>
          <w:sz w:val="24"/>
        </w:rPr>
        <w:t> </w:t>
      </w:r>
      <w:r>
        <w:rPr>
          <w:sz w:val="24"/>
        </w:rPr>
        <w:t>en</w:t>
      </w:r>
      <w:r>
        <w:rPr>
          <w:spacing w:val="40"/>
          <w:sz w:val="24"/>
        </w:rPr>
        <w:t> </w:t>
      </w:r>
      <w:r>
        <w:rPr>
          <w:sz w:val="24"/>
        </w:rPr>
        <w:t>la</w:t>
      </w:r>
      <w:r>
        <w:rPr>
          <w:spacing w:val="40"/>
          <w:sz w:val="24"/>
        </w:rPr>
        <w:t> </w:t>
      </w:r>
      <w:r>
        <w:rPr>
          <w:sz w:val="24"/>
        </w:rPr>
        <w:t>percepción</w:t>
      </w:r>
      <w:r>
        <w:rPr>
          <w:spacing w:val="40"/>
          <w:sz w:val="24"/>
        </w:rPr>
        <w:t> </w:t>
      </w:r>
      <w:r>
        <w:rPr>
          <w:sz w:val="24"/>
        </w:rPr>
        <w:t>de</w:t>
      </w:r>
      <w:r>
        <w:rPr>
          <w:spacing w:val="40"/>
          <w:sz w:val="24"/>
        </w:rPr>
        <w:t> </w:t>
      </w:r>
      <w:r>
        <w:rPr>
          <w:sz w:val="24"/>
        </w:rPr>
        <w:t>los comerciantes del centro de abastos las Mercedes de Juliaca, 2023?</w:t>
      </w:r>
    </w:p>
    <w:p>
      <w:pPr>
        <w:pStyle w:val="Heading3"/>
        <w:numPr>
          <w:ilvl w:val="1"/>
          <w:numId w:val="8"/>
        </w:numPr>
        <w:tabs>
          <w:tab w:pos="568" w:val="left" w:leader="none"/>
          <w:tab w:pos="863" w:val="left" w:leader="none"/>
        </w:tabs>
        <w:spacing w:line="480" w:lineRule="auto" w:before="16" w:after="0"/>
        <w:ind w:left="863" w:right="6896" w:hanging="720"/>
        <w:jc w:val="left"/>
      </w:pPr>
      <w:bookmarkStart w:name="_bookmark17" w:id="18"/>
      <w:bookmarkEnd w:id="18"/>
      <w:r>
        <w:rPr>
          <w:b w:val="0"/>
        </w:rPr>
      </w:r>
      <w:r>
        <w:rPr/>
        <w:t>Justificación</w:t>
      </w:r>
      <w:r>
        <w:rPr>
          <w:spacing w:val="-15"/>
        </w:rPr>
        <w:t> </w:t>
      </w:r>
      <w:r>
        <w:rPr/>
        <w:t>del</w:t>
      </w:r>
      <w:r>
        <w:rPr>
          <w:spacing w:val="-15"/>
        </w:rPr>
        <w:t> </w:t>
      </w:r>
      <w:r>
        <w:rPr/>
        <w:t>estudio </w:t>
      </w:r>
      <w:r>
        <w:rPr>
          <w:spacing w:val="-2"/>
        </w:rPr>
        <w:t>Teórica:</w:t>
      </w:r>
    </w:p>
    <w:p>
      <w:pPr>
        <w:pStyle w:val="BodyText"/>
        <w:spacing w:line="480" w:lineRule="auto"/>
        <w:ind w:left="851" w:right="990" w:firstLine="720"/>
        <w:jc w:val="both"/>
      </w:pPr>
      <w:r>
        <w:rPr/>
        <w:t>La justificación aplicada de este estudio se basa en la necesidad de entender cómo</w:t>
      </w:r>
      <w:r>
        <w:rPr>
          <w:spacing w:val="-10"/>
        </w:rPr>
        <w:t> </w:t>
      </w:r>
      <w:r>
        <w:rPr/>
        <w:t>el</w:t>
      </w:r>
      <w:r>
        <w:rPr>
          <w:spacing w:val="-10"/>
        </w:rPr>
        <w:t> </w:t>
      </w:r>
      <w:r>
        <w:rPr/>
        <w:t>Gravamen</w:t>
      </w:r>
      <w:r>
        <w:rPr>
          <w:spacing w:val="-9"/>
        </w:rPr>
        <w:t> </w:t>
      </w:r>
      <w:r>
        <w:rPr/>
        <w:t>General</w:t>
      </w:r>
      <w:r>
        <w:rPr>
          <w:spacing w:val="-9"/>
        </w:rPr>
        <w:t> </w:t>
      </w:r>
      <w:r>
        <w:rPr/>
        <w:t>a</w:t>
      </w:r>
      <w:r>
        <w:rPr>
          <w:spacing w:val="-11"/>
        </w:rPr>
        <w:t> </w:t>
      </w:r>
      <w:r>
        <w:rPr/>
        <w:t>las</w:t>
      </w:r>
      <w:r>
        <w:rPr>
          <w:spacing w:val="-10"/>
        </w:rPr>
        <w:t> </w:t>
      </w:r>
      <w:r>
        <w:rPr/>
        <w:t>Ventas</w:t>
      </w:r>
      <w:r>
        <w:rPr>
          <w:spacing w:val="-10"/>
        </w:rPr>
        <w:t> </w:t>
      </w:r>
      <w:r>
        <w:rPr/>
        <w:t>(IGV)</w:t>
      </w:r>
      <w:r>
        <w:rPr>
          <w:spacing w:val="-10"/>
        </w:rPr>
        <w:t> </w:t>
      </w:r>
      <w:r>
        <w:rPr/>
        <w:t>influye</w:t>
      </w:r>
      <w:r>
        <w:rPr>
          <w:spacing w:val="-12"/>
        </w:rPr>
        <w:t> </w:t>
      </w:r>
      <w:r>
        <w:rPr/>
        <w:t>en</w:t>
      </w:r>
      <w:r>
        <w:rPr>
          <w:spacing w:val="-11"/>
        </w:rPr>
        <w:t> </w:t>
      </w:r>
      <w:r>
        <w:rPr/>
        <w:t>la</w:t>
      </w:r>
      <w:r>
        <w:rPr>
          <w:spacing w:val="-11"/>
        </w:rPr>
        <w:t> </w:t>
      </w:r>
      <w:r>
        <w:rPr/>
        <w:t>evaluación</w:t>
      </w:r>
      <w:r>
        <w:rPr>
          <w:spacing w:val="-9"/>
        </w:rPr>
        <w:t> </w:t>
      </w:r>
      <w:r>
        <w:rPr/>
        <w:t>financiera</w:t>
      </w:r>
      <w:r>
        <w:rPr>
          <w:spacing w:val="-10"/>
        </w:rPr>
        <w:t> </w:t>
      </w:r>
      <w:r>
        <w:rPr/>
        <w:t>de los vendedores en el Mercado de Abastos de Las Mercedes en Juliaca, un aspecto crucial</w:t>
      </w:r>
      <w:r>
        <w:rPr>
          <w:spacing w:val="-15"/>
        </w:rPr>
        <w:t> </w:t>
      </w:r>
      <w:r>
        <w:rPr/>
        <w:t>para</w:t>
      </w:r>
      <w:r>
        <w:rPr>
          <w:spacing w:val="-15"/>
        </w:rPr>
        <w:t> </w:t>
      </w:r>
      <w:r>
        <w:rPr/>
        <w:t>el</w:t>
      </w:r>
      <w:r>
        <w:rPr>
          <w:spacing w:val="-15"/>
        </w:rPr>
        <w:t> </w:t>
      </w:r>
      <w:r>
        <w:rPr/>
        <w:t>desarrollo</w:t>
      </w:r>
      <w:r>
        <w:rPr>
          <w:spacing w:val="-15"/>
        </w:rPr>
        <w:t> </w:t>
      </w:r>
      <w:r>
        <w:rPr/>
        <w:t>sostenible</w:t>
      </w:r>
      <w:r>
        <w:rPr>
          <w:spacing w:val="-15"/>
        </w:rPr>
        <w:t> </w:t>
      </w:r>
      <w:r>
        <w:rPr/>
        <w:t>del</w:t>
      </w:r>
      <w:r>
        <w:rPr>
          <w:spacing w:val="-15"/>
        </w:rPr>
        <w:t> </w:t>
      </w:r>
      <w:r>
        <w:rPr/>
        <w:t>comercio</w:t>
      </w:r>
      <w:r>
        <w:rPr>
          <w:spacing w:val="-15"/>
        </w:rPr>
        <w:t> </w:t>
      </w:r>
      <w:r>
        <w:rPr/>
        <w:t>local.</w:t>
      </w:r>
      <w:r>
        <w:rPr>
          <w:spacing w:val="-15"/>
        </w:rPr>
        <w:t> </w:t>
      </w:r>
      <w:r>
        <w:rPr/>
        <w:t>A</w:t>
      </w:r>
      <w:r>
        <w:rPr>
          <w:spacing w:val="-15"/>
        </w:rPr>
        <w:t> </w:t>
      </w:r>
      <w:r>
        <w:rPr/>
        <w:t>medida</w:t>
      </w:r>
      <w:r>
        <w:rPr>
          <w:spacing w:val="-15"/>
        </w:rPr>
        <w:t> </w:t>
      </w:r>
      <w:r>
        <w:rPr/>
        <w:t>que</w:t>
      </w:r>
      <w:r>
        <w:rPr>
          <w:spacing w:val="-15"/>
        </w:rPr>
        <w:t> </w:t>
      </w:r>
      <w:r>
        <w:rPr/>
        <w:t>las</w:t>
      </w:r>
      <w:r>
        <w:rPr>
          <w:spacing w:val="-15"/>
        </w:rPr>
        <w:t> </w:t>
      </w:r>
      <w:r>
        <w:rPr/>
        <w:t>condiciones económicas cambian, es esencial que los comerciantes comprendan el impacto del IGV en su actividad financiera y en la adopción de decisiones estratégicas. Esta investigación proporcionará información valiosa que permitirá a los comerciantes adaptar sus prácticas de negocio, optimizar su gestión financiera y mejorar su capacidad de respuesta ante cambios fiscales. Además, al identificar las relaciones entre</w:t>
      </w:r>
      <w:r>
        <w:rPr>
          <w:spacing w:val="-4"/>
        </w:rPr>
        <w:t> </w:t>
      </w:r>
      <w:r>
        <w:rPr/>
        <w:t>el</w:t>
      </w:r>
      <w:r>
        <w:rPr>
          <w:spacing w:val="-5"/>
        </w:rPr>
        <w:t> </w:t>
      </w:r>
      <w:r>
        <w:rPr/>
        <w:t>IGV</w:t>
      </w:r>
      <w:r>
        <w:rPr>
          <w:spacing w:val="-4"/>
        </w:rPr>
        <w:t> </w:t>
      </w:r>
      <w:r>
        <w:rPr/>
        <w:t>y</w:t>
      </w:r>
      <w:r>
        <w:rPr>
          <w:spacing w:val="-4"/>
        </w:rPr>
        <w:t> </w:t>
      </w:r>
      <w:r>
        <w:rPr/>
        <w:t>la</w:t>
      </w:r>
      <w:r>
        <w:rPr>
          <w:spacing w:val="-4"/>
        </w:rPr>
        <w:t> </w:t>
      </w:r>
      <w:r>
        <w:rPr/>
        <w:t>percepción</w:t>
      </w:r>
      <w:r>
        <w:rPr>
          <w:spacing w:val="-4"/>
        </w:rPr>
        <w:t> </w:t>
      </w:r>
      <w:r>
        <w:rPr/>
        <w:t>económica,</w:t>
      </w:r>
      <w:r>
        <w:rPr>
          <w:spacing w:val="-4"/>
        </w:rPr>
        <w:t> </w:t>
      </w:r>
      <w:r>
        <w:rPr/>
        <w:t>se</w:t>
      </w:r>
      <w:r>
        <w:rPr>
          <w:spacing w:val="-4"/>
        </w:rPr>
        <w:t> </w:t>
      </w:r>
      <w:r>
        <w:rPr/>
        <w:t>podrán</w:t>
      </w:r>
      <w:r>
        <w:rPr>
          <w:spacing w:val="-4"/>
        </w:rPr>
        <w:t> </w:t>
      </w:r>
      <w:r>
        <w:rPr/>
        <w:t>desarrollar</w:t>
      </w:r>
      <w:r>
        <w:rPr>
          <w:spacing w:val="-3"/>
        </w:rPr>
        <w:t> </w:t>
      </w:r>
      <w:r>
        <w:rPr/>
        <w:t>políticas</w:t>
      </w:r>
      <w:r>
        <w:rPr>
          <w:spacing w:val="-4"/>
        </w:rPr>
        <w:t> </w:t>
      </w:r>
      <w:r>
        <w:rPr/>
        <w:t>y</w:t>
      </w:r>
      <w:r>
        <w:rPr>
          <w:spacing w:val="-4"/>
        </w:rPr>
        <w:t> </w:t>
      </w:r>
      <w:r>
        <w:rPr/>
        <w:t>estrategias más efectivas que beneficien a los comerciantes, favorezcan la competitividad y ayuden al desarrollo económico de la zona. En consecuencia, los hallazgos de este estudio no solo serán relevantes para los comerciantes locales, sino que también ofrecerán insumos a los responsables de formular políticas públicas, facilitando la implementación de un entorno fiscal más equitativo y favorable para el desarrollo comercial en Juliaca.</w:t>
      </w:r>
    </w:p>
    <w:p>
      <w:pPr>
        <w:pStyle w:val="BodyText"/>
        <w:spacing w:after="0" w:line="480" w:lineRule="auto"/>
        <w:jc w:val="both"/>
        <w:sectPr>
          <w:pgSz w:w="11910" w:h="16840"/>
          <w:pgMar w:header="0" w:footer="693" w:top="1340" w:bottom="880" w:left="1559" w:right="425"/>
        </w:sectPr>
      </w:pPr>
    </w:p>
    <w:p>
      <w:pPr>
        <w:pStyle w:val="Heading3"/>
        <w:spacing w:before="66"/>
        <w:ind w:left="863"/>
      </w:pPr>
      <w:r>
        <w:rPr>
          <w:spacing w:val="-2"/>
        </w:rPr>
        <w:t>Práctico:</w:t>
      </w:r>
    </w:p>
    <w:p>
      <w:pPr>
        <w:pStyle w:val="BodyText"/>
        <w:rPr>
          <w:b/>
        </w:rPr>
      </w:pPr>
    </w:p>
    <w:p>
      <w:pPr>
        <w:pStyle w:val="BodyText"/>
        <w:spacing w:line="480" w:lineRule="auto"/>
        <w:ind w:left="851" w:right="990" w:firstLine="780"/>
        <w:jc w:val="both"/>
      </w:pPr>
      <w:r>
        <w:rPr/>
        <w:t>La justificación conceptual de este estudio se basa en la importancia del Gravamen</w:t>
      </w:r>
      <w:r>
        <w:rPr>
          <w:spacing w:val="-7"/>
        </w:rPr>
        <w:t> </w:t>
      </w:r>
      <w:r>
        <w:rPr/>
        <w:t>General</w:t>
      </w:r>
      <w:r>
        <w:rPr>
          <w:spacing w:val="-6"/>
        </w:rPr>
        <w:t> </w:t>
      </w:r>
      <w:r>
        <w:rPr/>
        <w:t>a</w:t>
      </w:r>
      <w:r>
        <w:rPr>
          <w:spacing w:val="-5"/>
        </w:rPr>
        <w:t> </w:t>
      </w:r>
      <w:r>
        <w:rPr/>
        <w:t>las</w:t>
      </w:r>
      <w:r>
        <w:rPr>
          <w:spacing w:val="-6"/>
        </w:rPr>
        <w:t> </w:t>
      </w:r>
      <w:r>
        <w:rPr/>
        <w:t>Ventas</w:t>
      </w:r>
      <w:r>
        <w:rPr>
          <w:spacing w:val="-6"/>
        </w:rPr>
        <w:t> </w:t>
      </w:r>
      <w:r>
        <w:rPr/>
        <w:t>(IGV)</w:t>
      </w:r>
      <w:r>
        <w:rPr>
          <w:spacing w:val="-6"/>
        </w:rPr>
        <w:t> </w:t>
      </w:r>
      <w:r>
        <w:rPr/>
        <w:t>como</w:t>
      </w:r>
      <w:r>
        <w:rPr>
          <w:spacing w:val="-7"/>
        </w:rPr>
        <w:t> </w:t>
      </w:r>
      <w:r>
        <w:rPr/>
        <w:t>herramienta</w:t>
      </w:r>
      <w:r>
        <w:rPr>
          <w:spacing w:val="-7"/>
        </w:rPr>
        <w:t> </w:t>
      </w:r>
      <w:r>
        <w:rPr/>
        <w:t>fiscal</w:t>
      </w:r>
      <w:r>
        <w:rPr>
          <w:spacing w:val="-7"/>
        </w:rPr>
        <w:t> </w:t>
      </w:r>
      <w:r>
        <w:rPr/>
        <w:t>que</w:t>
      </w:r>
      <w:r>
        <w:rPr>
          <w:spacing w:val="-5"/>
        </w:rPr>
        <w:t> </w:t>
      </w:r>
      <w:r>
        <w:rPr/>
        <w:t>impacta</w:t>
      </w:r>
      <w:r>
        <w:rPr>
          <w:spacing w:val="-5"/>
        </w:rPr>
        <w:t> </w:t>
      </w:r>
      <w:r>
        <w:rPr/>
        <w:t>tanto</w:t>
      </w:r>
      <w:r>
        <w:rPr>
          <w:spacing w:val="-7"/>
        </w:rPr>
        <w:t> </w:t>
      </w:r>
      <w:r>
        <w:rPr/>
        <w:t>en la recaudación de ingresos del Estado como en la evaluación financiera de los vendedores</w:t>
      </w:r>
      <w:r>
        <w:rPr>
          <w:spacing w:val="-4"/>
        </w:rPr>
        <w:t> </w:t>
      </w:r>
      <w:r>
        <w:rPr/>
        <w:t>en</w:t>
      </w:r>
      <w:r>
        <w:rPr>
          <w:spacing w:val="-2"/>
        </w:rPr>
        <w:t> </w:t>
      </w:r>
      <w:r>
        <w:rPr/>
        <w:t>el</w:t>
      </w:r>
      <w:r>
        <w:rPr>
          <w:spacing w:val="-5"/>
        </w:rPr>
        <w:t> </w:t>
      </w:r>
      <w:r>
        <w:rPr/>
        <w:t>Mercado</w:t>
      </w:r>
      <w:r>
        <w:rPr>
          <w:spacing w:val="-4"/>
        </w:rPr>
        <w:t> </w:t>
      </w:r>
      <w:r>
        <w:rPr/>
        <w:t>de</w:t>
      </w:r>
      <w:r>
        <w:rPr>
          <w:spacing w:val="-5"/>
        </w:rPr>
        <w:t> </w:t>
      </w:r>
      <w:r>
        <w:rPr/>
        <w:t>Abastos</w:t>
      </w:r>
      <w:r>
        <w:rPr>
          <w:spacing w:val="-2"/>
        </w:rPr>
        <w:t> </w:t>
      </w:r>
      <w:r>
        <w:rPr/>
        <w:t>de</w:t>
      </w:r>
      <w:r>
        <w:rPr>
          <w:spacing w:val="-2"/>
        </w:rPr>
        <w:t> </w:t>
      </w:r>
      <w:r>
        <w:rPr/>
        <w:t>Las</w:t>
      </w:r>
      <w:r>
        <w:rPr>
          <w:spacing w:val="-4"/>
        </w:rPr>
        <w:t> </w:t>
      </w:r>
      <w:r>
        <w:rPr/>
        <w:t>Mercedes</w:t>
      </w:r>
      <w:r>
        <w:rPr>
          <w:spacing w:val="-2"/>
        </w:rPr>
        <w:t> </w:t>
      </w:r>
      <w:r>
        <w:rPr/>
        <w:t>en</w:t>
      </w:r>
      <w:r>
        <w:rPr>
          <w:spacing w:val="-5"/>
        </w:rPr>
        <w:t> </w:t>
      </w:r>
      <w:r>
        <w:rPr/>
        <w:t>Juliaca.</w:t>
      </w:r>
      <w:r>
        <w:rPr>
          <w:spacing w:val="-5"/>
        </w:rPr>
        <w:t> </w:t>
      </w:r>
      <w:r>
        <w:rPr/>
        <w:t>El</w:t>
      </w:r>
      <w:r>
        <w:rPr>
          <w:spacing w:val="-5"/>
        </w:rPr>
        <w:t> </w:t>
      </w:r>
      <w:r>
        <w:rPr/>
        <w:t>IGV,</w:t>
      </w:r>
      <w:r>
        <w:rPr>
          <w:spacing w:val="-4"/>
        </w:rPr>
        <w:t> </w:t>
      </w:r>
      <w:r>
        <w:rPr/>
        <w:t>al</w:t>
      </w:r>
      <w:r>
        <w:rPr>
          <w:spacing w:val="-4"/>
        </w:rPr>
        <w:t> </w:t>
      </w:r>
      <w:r>
        <w:rPr/>
        <w:t>ser</w:t>
      </w:r>
      <w:r>
        <w:rPr>
          <w:spacing w:val="-4"/>
        </w:rPr>
        <w:t> </w:t>
      </w:r>
      <w:r>
        <w:rPr/>
        <w:t>un impuesto indirecto aplicado en cada fase del proceso de fabricación y distribución, influye</w:t>
      </w:r>
      <w:r>
        <w:rPr>
          <w:spacing w:val="-8"/>
        </w:rPr>
        <w:t> </w:t>
      </w:r>
      <w:r>
        <w:rPr/>
        <w:t>en</w:t>
      </w:r>
      <w:r>
        <w:rPr>
          <w:spacing w:val="-9"/>
        </w:rPr>
        <w:t> </w:t>
      </w:r>
      <w:r>
        <w:rPr/>
        <w:t>la</w:t>
      </w:r>
      <w:r>
        <w:rPr>
          <w:spacing w:val="-9"/>
        </w:rPr>
        <w:t> </w:t>
      </w:r>
      <w:r>
        <w:rPr/>
        <w:t>conducta</w:t>
      </w:r>
      <w:r>
        <w:rPr>
          <w:spacing w:val="-9"/>
        </w:rPr>
        <w:t> </w:t>
      </w:r>
      <w:r>
        <w:rPr/>
        <w:t>del</w:t>
      </w:r>
      <w:r>
        <w:rPr>
          <w:spacing w:val="-8"/>
        </w:rPr>
        <w:t> </w:t>
      </w:r>
      <w:r>
        <w:rPr/>
        <w:t>consumidor</w:t>
      </w:r>
      <w:r>
        <w:rPr>
          <w:spacing w:val="-7"/>
        </w:rPr>
        <w:t> </w:t>
      </w:r>
      <w:r>
        <w:rPr/>
        <w:t>y,</w:t>
      </w:r>
      <w:r>
        <w:rPr>
          <w:spacing w:val="-7"/>
        </w:rPr>
        <w:t> </w:t>
      </w:r>
      <w:r>
        <w:rPr/>
        <w:t>por</w:t>
      </w:r>
      <w:r>
        <w:rPr>
          <w:spacing w:val="-8"/>
        </w:rPr>
        <w:t> </w:t>
      </w:r>
      <w:r>
        <w:rPr/>
        <w:t>ende,</w:t>
      </w:r>
      <w:r>
        <w:rPr>
          <w:spacing w:val="-7"/>
        </w:rPr>
        <w:t> </w:t>
      </w:r>
      <w:r>
        <w:rPr/>
        <w:t>en</w:t>
      </w:r>
      <w:r>
        <w:rPr>
          <w:spacing w:val="-9"/>
        </w:rPr>
        <w:t> </w:t>
      </w:r>
      <w:r>
        <w:rPr/>
        <w:t>la</w:t>
      </w:r>
      <w:r>
        <w:rPr>
          <w:spacing w:val="-9"/>
        </w:rPr>
        <w:t> </w:t>
      </w:r>
      <w:r>
        <w:rPr/>
        <w:t>dinámica</w:t>
      </w:r>
      <w:r>
        <w:rPr>
          <w:spacing w:val="-7"/>
        </w:rPr>
        <w:t> </w:t>
      </w:r>
      <w:r>
        <w:rPr/>
        <w:t>del</w:t>
      </w:r>
      <w:r>
        <w:rPr>
          <w:spacing w:val="-8"/>
        </w:rPr>
        <w:t> </w:t>
      </w:r>
      <w:r>
        <w:rPr/>
        <w:t>mercado</w:t>
      </w:r>
      <w:r>
        <w:rPr>
          <w:spacing w:val="-9"/>
        </w:rPr>
        <w:t> </w:t>
      </w:r>
      <w:r>
        <w:rPr/>
        <w:t>local. La carga tributaria no solo afecta las decisiones de inversión y consumo, sino que también</w:t>
      </w:r>
      <w:r>
        <w:rPr>
          <w:spacing w:val="-10"/>
        </w:rPr>
        <w:t> </w:t>
      </w:r>
      <w:r>
        <w:rPr/>
        <w:t>puede</w:t>
      </w:r>
      <w:r>
        <w:rPr>
          <w:spacing w:val="-9"/>
        </w:rPr>
        <w:t> </w:t>
      </w:r>
      <w:r>
        <w:rPr/>
        <w:t>modificar</w:t>
      </w:r>
      <w:r>
        <w:rPr>
          <w:spacing w:val="-8"/>
        </w:rPr>
        <w:t> </w:t>
      </w:r>
      <w:r>
        <w:rPr/>
        <w:t>las</w:t>
      </w:r>
      <w:r>
        <w:rPr>
          <w:spacing w:val="-9"/>
        </w:rPr>
        <w:t> </w:t>
      </w:r>
      <w:r>
        <w:rPr/>
        <w:t>estrategias</w:t>
      </w:r>
      <w:r>
        <w:rPr>
          <w:spacing w:val="-9"/>
        </w:rPr>
        <w:t> </w:t>
      </w:r>
      <w:r>
        <w:rPr/>
        <w:t>comerciales</w:t>
      </w:r>
      <w:r>
        <w:rPr>
          <w:spacing w:val="-9"/>
        </w:rPr>
        <w:t> </w:t>
      </w:r>
      <w:r>
        <w:rPr/>
        <w:t>de</w:t>
      </w:r>
      <w:r>
        <w:rPr>
          <w:spacing w:val="-8"/>
        </w:rPr>
        <w:t> </w:t>
      </w:r>
      <w:r>
        <w:rPr/>
        <w:t>los</w:t>
      </w:r>
      <w:r>
        <w:rPr>
          <w:spacing w:val="-9"/>
        </w:rPr>
        <w:t> </w:t>
      </w:r>
      <w:r>
        <w:rPr/>
        <w:t>agentes</w:t>
      </w:r>
      <w:r>
        <w:rPr>
          <w:spacing w:val="-9"/>
        </w:rPr>
        <w:t> </w:t>
      </w:r>
      <w:r>
        <w:rPr/>
        <w:t>económicos.</w:t>
      </w:r>
      <w:r>
        <w:rPr>
          <w:spacing w:val="-9"/>
        </w:rPr>
        <w:t> </w:t>
      </w:r>
      <w:r>
        <w:rPr/>
        <w:t>Así, la percepción económica, entendida como la evaluación que realizan los actores económicos sobre su situación financiera, es crucial para comprender sus comportamientos comerciales y decisiones estratégicas. Esta investigación busca, por lo tanto, analizar la relación entre el IGV y la percepción económica, contribuyendo a un marco comprensivo que permita entender los efectos de la presión fiscal en la actividad mercantil local y ofreciendo recomendaciones para mejorar</w:t>
      </w:r>
      <w:r>
        <w:rPr>
          <w:spacing w:val="-10"/>
        </w:rPr>
        <w:t> </w:t>
      </w:r>
      <w:r>
        <w:rPr/>
        <w:t>la</w:t>
      </w:r>
      <w:r>
        <w:rPr>
          <w:spacing w:val="-13"/>
        </w:rPr>
        <w:t> </w:t>
      </w:r>
      <w:r>
        <w:rPr/>
        <w:t>gestión</w:t>
      </w:r>
      <w:r>
        <w:rPr>
          <w:spacing w:val="-11"/>
        </w:rPr>
        <w:t> </w:t>
      </w:r>
      <w:r>
        <w:rPr/>
        <w:t>fiscal</w:t>
      </w:r>
      <w:r>
        <w:rPr>
          <w:spacing w:val="-12"/>
        </w:rPr>
        <w:t> </w:t>
      </w:r>
      <w:r>
        <w:rPr/>
        <w:t>en</w:t>
      </w:r>
      <w:r>
        <w:rPr>
          <w:spacing w:val="-12"/>
        </w:rPr>
        <w:t> </w:t>
      </w:r>
      <w:r>
        <w:rPr/>
        <w:t>beneficio</w:t>
      </w:r>
      <w:r>
        <w:rPr>
          <w:spacing w:val="-11"/>
        </w:rPr>
        <w:t> </w:t>
      </w:r>
      <w:r>
        <w:rPr/>
        <w:t>de</w:t>
      </w:r>
      <w:r>
        <w:rPr>
          <w:spacing w:val="-10"/>
        </w:rPr>
        <w:t> </w:t>
      </w:r>
      <w:r>
        <w:rPr/>
        <w:t>los</w:t>
      </w:r>
      <w:r>
        <w:rPr>
          <w:spacing w:val="-11"/>
        </w:rPr>
        <w:t> </w:t>
      </w:r>
      <w:r>
        <w:rPr/>
        <w:t>comerciantes</w:t>
      </w:r>
      <w:r>
        <w:rPr>
          <w:spacing w:val="-11"/>
        </w:rPr>
        <w:t> </w:t>
      </w:r>
      <w:r>
        <w:rPr/>
        <w:t>y</w:t>
      </w:r>
      <w:r>
        <w:rPr>
          <w:spacing w:val="-11"/>
        </w:rPr>
        <w:t> </w:t>
      </w:r>
      <w:r>
        <w:rPr/>
        <w:t>del</w:t>
      </w:r>
      <w:r>
        <w:rPr>
          <w:spacing w:val="-10"/>
        </w:rPr>
        <w:t> </w:t>
      </w:r>
      <w:r>
        <w:rPr/>
        <w:t>desarrollo</w:t>
      </w:r>
      <w:r>
        <w:rPr>
          <w:spacing w:val="-12"/>
        </w:rPr>
        <w:t> </w:t>
      </w:r>
      <w:r>
        <w:rPr/>
        <w:t>económico de la región.</w:t>
      </w:r>
    </w:p>
    <w:p>
      <w:pPr>
        <w:pStyle w:val="Heading3"/>
        <w:spacing w:before="2"/>
        <w:ind w:left="863"/>
      </w:pPr>
      <w:r>
        <w:rPr>
          <w:spacing w:val="-2"/>
        </w:rPr>
        <w:t>Metodológico:</w:t>
      </w:r>
    </w:p>
    <w:p>
      <w:pPr>
        <w:pStyle w:val="BodyText"/>
        <w:rPr>
          <w:b/>
        </w:rPr>
      </w:pPr>
    </w:p>
    <w:p>
      <w:pPr>
        <w:pStyle w:val="BodyText"/>
        <w:spacing w:line="480" w:lineRule="auto"/>
        <w:ind w:left="851" w:right="991" w:firstLine="780"/>
        <w:jc w:val="both"/>
      </w:pPr>
      <w:r>
        <w:rPr/>
        <w:t>La</w:t>
      </w:r>
      <w:r>
        <w:rPr>
          <w:spacing w:val="-8"/>
        </w:rPr>
        <w:t> </w:t>
      </w:r>
      <w:r>
        <w:rPr/>
        <w:t>justificación</w:t>
      </w:r>
      <w:r>
        <w:rPr>
          <w:spacing w:val="-7"/>
        </w:rPr>
        <w:t> </w:t>
      </w:r>
      <w:r>
        <w:rPr/>
        <w:t>metodológica</w:t>
      </w:r>
      <w:r>
        <w:rPr>
          <w:spacing w:val="-8"/>
        </w:rPr>
        <w:t> </w:t>
      </w:r>
      <w:r>
        <w:rPr/>
        <w:t>del</w:t>
      </w:r>
      <w:r>
        <w:rPr>
          <w:spacing w:val="-8"/>
        </w:rPr>
        <w:t> </w:t>
      </w:r>
      <w:r>
        <w:rPr/>
        <w:t>presente</w:t>
      </w:r>
      <w:r>
        <w:rPr>
          <w:spacing w:val="-7"/>
        </w:rPr>
        <w:t> </w:t>
      </w:r>
      <w:r>
        <w:rPr/>
        <w:t>estudio</w:t>
      </w:r>
      <w:r>
        <w:rPr>
          <w:spacing w:val="-7"/>
        </w:rPr>
        <w:t> </w:t>
      </w:r>
      <w:r>
        <w:rPr/>
        <w:t>se</w:t>
      </w:r>
      <w:r>
        <w:rPr>
          <w:spacing w:val="-5"/>
        </w:rPr>
        <w:t> </w:t>
      </w:r>
      <w:r>
        <w:rPr/>
        <w:t>basa</w:t>
      </w:r>
      <w:r>
        <w:rPr>
          <w:spacing w:val="-7"/>
        </w:rPr>
        <w:t> </w:t>
      </w:r>
      <w:r>
        <w:rPr/>
        <w:t>en</w:t>
      </w:r>
      <w:r>
        <w:rPr>
          <w:spacing w:val="-5"/>
        </w:rPr>
        <w:t> </w:t>
      </w:r>
      <w:r>
        <w:rPr/>
        <w:t>la</w:t>
      </w:r>
      <w:r>
        <w:rPr>
          <w:spacing w:val="-7"/>
        </w:rPr>
        <w:t> </w:t>
      </w:r>
      <w:r>
        <w:rPr/>
        <w:t>selección</w:t>
      </w:r>
      <w:r>
        <w:rPr>
          <w:spacing w:val="-7"/>
        </w:rPr>
        <w:t> </w:t>
      </w:r>
      <w:r>
        <w:rPr/>
        <w:t>de un enfoque cuantitativo que permite una medición objetiva y estadísticamente significativa de las variables involucradas, es decir, el Gravamen General a las Ventas</w:t>
      </w:r>
      <w:r>
        <w:rPr>
          <w:spacing w:val="-11"/>
        </w:rPr>
        <w:t> </w:t>
      </w:r>
      <w:r>
        <w:rPr/>
        <w:t>(IGV)</w:t>
      </w:r>
      <w:r>
        <w:rPr>
          <w:spacing w:val="-11"/>
        </w:rPr>
        <w:t> </w:t>
      </w:r>
      <w:r>
        <w:rPr/>
        <w:t>y</w:t>
      </w:r>
      <w:r>
        <w:rPr>
          <w:spacing w:val="-11"/>
        </w:rPr>
        <w:t> </w:t>
      </w:r>
      <w:r>
        <w:rPr/>
        <w:t>la</w:t>
      </w:r>
      <w:r>
        <w:rPr>
          <w:spacing w:val="-13"/>
        </w:rPr>
        <w:t> </w:t>
      </w:r>
      <w:r>
        <w:rPr/>
        <w:t>evaluación</w:t>
      </w:r>
      <w:r>
        <w:rPr>
          <w:spacing w:val="-10"/>
        </w:rPr>
        <w:t> </w:t>
      </w:r>
      <w:r>
        <w:rPr/>
        <w:t>financiera</w:t>
      </w:r>
      <w:r>
        <w:rPr>
          <w:spacing w:val="-10"/>
        </w:rPr>
        <w:t> </w:t>
      </w:r>
      <w:r>
        <w:rPr/>
        <w:t>de</w:t>
      </w:r>
      <w:r>
        <w:rPr>
          <w:spacing w:val="-12"/>
        </w:rPr>
        <w:t> </w:t>
      </w:r>
      <w:r>
        <w:rPr/>
        <w:t>los</w:t>
      </w:r>
      <w:r>
        <w:rPr>
          <w:spacing w:val="-11"/>
        </w:rPr>
        <w:t> </w:t>
      </w:r>
      <w:r>
        <w:rPr/>
        <w:t>vendedores</w:t>
      </w:r>
      <w:r>
        <w:rPr>
          <w:spacing w:val="-9"/>
        </w:rPr>
        <w:t> </w:t>
      </w:r>
      <w:r>
        <w:rPr/>
        <w:t>en</w:t>
      </w:r>
      <w:r>
        <w:rPr>
          <w:spacing w:val="-12"/>
        </w:rPr>
        <w:t> </w:t>
      </w:r>
      <w:r>
        <w:rPr/>
        <w:t>el</w:t>
      </w:r>
      <w:r>
        <w:rPr>
          <w:spacing w:val="-12"/>
        </w:rPr>
        <w:t> </w:t>
      </w:r>
      <w:r>
        <w:rPr/>
        <w:t>Mercado</w:t>
      </w:r>
      <w:r>
        <w:rPr>
          <w:spacing w:val="-11"/>
        </w:rPr>
        <w:t> </w:t>
      </w:r>
      <w:r>
        <w:rPr/>
        <w:t>de</w:t>
      </w:r>
      <w:r>
        <w:rPr>
          <w:spacing w:val="-10"/>
        </w:rPr>
        <w:t> </w:t>
      </w:r>
      <w:r>
        <w:rPr/>
        <w:t>Abastos de</w:t>
      </w:r>
      <w:r>
        <w:rPr>
          <w:spacing w:val="-3"/>
        </w:rPr>
        <w:t> </w:t>
      </w:r>
      <w:r>
        <w:rPr/>
        <w:t>Las</w:t>
      </w:r>
      <w:r>
        <w:rPr>
          <w:spacing w:val="-3"/>
        </w:rPr>
        <w:t> </w:t>
      </w:r>
      <w:r>
        <w:rPr/>
        <w:t>Mercedes</w:t>
      </w:r>
      <w:r>
        <w:rPr>
          <w:spacing w:val="-3"/>
        </w:rPr>
        <w:t> </w:t>
      </w:r>
      <w:r>
        <w:rPr/>
        <w:t>en</w:t>
      </w:r>
      <w:r>
        <w:rPr>
          <w:spacing w:val="-2"/>
        </w:rPr>
        <w:t> </w:t>
      </w:r>
      <w:r>
        <w:rPr/>
        <w:t>Juliaca.</w:t>
      </w:r>
      <w:r>
        <w:rPr>
          <w:spacing w:val="-3"/>
        </w:rPr>
        <w:t> </w:t>
      </w:r>
      <w:r>
        <w:rPr/>
        <w:t>Al</w:t>
      </w:r>
      <w:r>
        <w:rPr>
          <w:spacing w:val="-3"/>
        </w:rPr>
        <w:t> </w:t>
      </w:r>
      <w:r>
        <w:rPr/>
        <w:t>optar</w:t>
      </w:r>
      <w:r>
        <w:rPr>
          <w:spacing w:val="-3"/>
        </w:rPr>
        <w:t> </w:t>
      </w:r>
      <w:r>
        <w:rPr/>
        <w:t>por</w:t>
      </w:r>
      <w:r>
        <w:rPr>
          <w:spacing w:val="-2"/>
        </w:rPr>
        <w:t> </w:t>
      </w:r>
      <w:r>
        <w:rPr/>
        <w:t>un</w:t>
      </w:r>
      <w:r>
        <w:rPr>
          <w:spacing w:val="-3"/>
        </w:rPr>
        <w:t> </w:t>
      </w:r>
      <w:r>
        <w:rPr/>
        <w:t>tipo</w:t>
      </w:r>
      <w:r>
        <w:rPr>
          <w:spacing w:val="-3"/>
        </w:rPr>
        <w:t> </w:t>
      </w:r>
      <w:r>
        <w:rPr/>
        <w:t>de</w:t>
      </w:r>
      <w:r>
        <w:rPr>
          <w:spacing w:val="-3"/>
        </w:rPr>
        <w:t> </w:t>
      </w:r>
      <w:r>
        <w:rPr/>
        <w:t>investigación</w:t>
      </w:r>
      <w:r>
        <w:rPr>
          <w:spacing w:val="-3"/>
        </w:rPr>
        <w:t> </w:t>
      </w:r>
      <w:r>
        <w:rPr/>
        <w:t>aplicada,</w:t>
      </w:r>
      <w:r>
        <w:rPr>
          <w:spacing w:val="-3"/>
        </w:rPr>
        <w:t> </w:t>
      </w:r>
      <w:r>
        <w:rPr/>
        <w:t>se</w:t>
      </w:r>
      <w:r>
        <w:rPr>
          <w:spacing w:val="-3"/>
        </w:rPr>
        <w:t> </w:t>
      </w:r>
      <w:r>
        <w:rPr/>
        <w:t>busca generar conocimientos que tengan un impacto práctico en el contexto local, facilitando</w:t>
      </w:r>
      <w:r>
        <w:rPr>
          <w:spacing w:val="27"/>
        </w:rPr>
        <w:t>  </w:t>
      </w:r>
      <w:r>
        <w:rPr/>
        <w:t>así</w:t>
      </w:r>
      <w:r>
        <w:rPr>
          <w:spacing w:val="26"/>
        </w:rPr>
        <w:t>  </w:t>
      </w:r>
      <w:r>
        <w:rPr/>
        <w:t>la</w:t>
      </w:r>
      <w:r>
        <w:rPr>
          <w:spacing w:val="27"/>
        </w:rPr>
        <w:t>  </w:t>
      </w:r>
      <w:r>
        <w:rPr/>
        <w:t>adopción</w:t>
      </w:r>
      <w:r>
        <w:rPr>
          <w:spacing w:val="26"/>
        </w:rPr>
        <w:t>  </w:t>
      </w:r>
      <w:r>
        <w:rPr/>
        <w:t>de</w:t>
      </w:r>
      <w:r>
        <w:rPr>
          <w:spacing w:val="27"/>
        </w:rPr>
        <w:t>  </w:t>
      </w:r>
      <w:r>
        <w:rPr/>
        <w:t>decisiones</w:t>
      </w:r>
      <w:r>
        <w:rPr>
          <w:spacing w:val="26"/>
        </w:rPr>
        <w:t>  </w:t>
      </w:r>
      <w:r>
        <w:rPr/>
        <w:t>fundamentadas</w:t>
      </w:r>
      <w:r>
        <w:rPr>
          <w:spacing w:val="27"/>
        </w:rPr>
        <w:t>  </w:t>
      </w:r>
      <w:r>
        <w:rPr/>
        <w:t>por</w:t>
      </w:r>
      <w:r>
        <w:rPr>
          <w:spacing w:val="26"/>
        </w:rPr>
        <w:t>  </w:t>
      </w:r>
      <w:r>
        <w:rPr/>
        <w:t>parte</w:t>
      </w:r>
      <w:r>
        <w:rPr>
          <w:spacing w:val="27"/>
        </w:rPr>
        <w:t>  </w:t>
      </w:r>
      <w:r>
        <w:rPr/>
        <w:t>de</w:t>
      </w:r>
      <w:r>
        <w:rPr>
          <w:spacing w:val="27"/>
        </w:rPr>
        <w:t>  </w:t>
      </w:r>
      <w:r>
        <w:rPr>
          <w:spacing w:val="-5"/>
        </w:rPr>
        <w:t>los</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851" w:right="992"/>
        <w:jc w:val="both"/>
      </w:pPr>
      <w:r>
        <w:rPr/>
        <w:t>comerciantes y las autoridades fiscales. El diseño no experimental de corte transversal se considera adecuado para capturar datos en un único momento, lo que permite</w:t>
      </w:r>
      <w:r>
        <w:rPr>
          <w:spacing w:val="-8"/>
        </w:rPr>
        <w:t> </w:t>
      </w:r>
      <w:r>
        <w:rPr/>
        <w:t>obtener</w:t>
      </w:r>
      <w:r>
        <w:rPr>
          <w:spacing w:val="-8"/>
        </w:rPr>
        <w:t> </w:t>
      </w:r>
      <w:r>
        <w:rPr/>
        <w:t>una</w:t>
      </w:r>
      <w:r>
        <w:rPr>
          <w:spacing w:val="-6"/>
        </w:rPr>
        <w:t> </w:t>
      </w:r>
      <w:r>
        <w:rPr/>
        <w:t>instantánea</w:t>
      </w:r>
      <w:r>
        <w:rPr>
          <w:spacing w:val="-6"/>
        </w:rPr>
        <w:t> </w:t>
      </w:r>
      <w:r>
        <w:rPr/>
        <w:t>del</w:t>
      </w:r>
      <w:r>
        <w:rPr>
          <w:spacing w:val="-7"/>
        </w:rPr>
        <w:t> </w:t>
      </w:r>
      <w:r>
        <w:rPr/>
        <w:t>estado</w:t>
      </w:r>
      <w:r>
        <w:rPr>
          <w:spacing w:val="-6"/>
        </w:rPr>
        <w:t> </w:t>
      </w:r>
      <w:r>
        <w:rPr/>
        <w:t>presente</w:t>
      </w:r>
      <w:r>
        <w:rPr>
          <w:spacing w:val="-6"/>
        </w:rPr>
        <w:t> </w:t>
      </w:r>
      <w:r>
        <w:rPr/>
        <w:t>y</w:t>
      </w:r>
      <w:r>
        <w:rPr>
          <w:spacing w:val="-8"/>
        </w:rPr>
        <w:t> </w:t>
      </w:r>
      <w:r>
        <w:rPr/>
        <w:t>examinar</w:t>
      </w:r>
      <w:r>
        <w:rPr>
          <w:spacing w:val="-4"/>
        </w:rPr>
        <w:t> </w:t>
      </w:r>
      <w:r>
        <w:rPr/>
        <w:t>la</w:t>
      </w:r>
      <w:r>
        <w:rPr>
          <w:spacing w:val="-9"/>
        </w:rPr>
        <w:t> </w:t>
      </w:r>
      <w:r>
        <w:rPr/>
        <w:t>conexión</w:t>
      </w:r>
      <w:r>
        <w:rPr>
          <w:spacing w:val="-5"/>
        </w:rPr>
        <w:t> </w:t>
      </w:r>
      <w:r>
        <w:rPr/>
        <w:t>entre</w:t>
      </w:r>
      <w:r>
        <w:rPr>
          <w:spacing w:val="-6"/>
        </w:rPr>
        <w:t> </w:t>
      </w:r>
      <w:r>
        <w:rPr/>
        <w:t>las variables</w:t>
      </w:r>
      <w:r>
        <w:rPr>
          <w:spacing w:val="-15"/>
        </w:rPr>
        <w:t> </w:t>
      </w:r>
      <w:r>
        <w:rPr/>
        <w:t>de</w:t>
      </w:r>
      <w:r>
        <w:rPr>
          <w:spacing w:val="-15"/>
        </w:rPr>
        <w:t> </w:t>
      </w:r>
      <w:r>
        <w:rPr/>
        <w:t>interés</w:t>
      </w:r>
      <w:r>
        <w:rPr>
          <w:spacing w:val="-15"/>
        </w:rPr>
        <w:t> </w:t>
      </w:r>
      <w:r>
        <w:rPr/>
        <w:t>sin</w:t>
      </w:r>
      <w:r>
        <w:rPr>
          <w:spacing w:val="-15"/>
        </w:rPr>
        <w:t> </w:t>
      </w:r>
      <w:r>
        <w:rPr/>
        <w:t>manipularlas.</w:t>
      </w:r>
      <w:r>
        <w:rPr>
          <w:spacing w:val="-15"/>
        </w:rPr>
        <w:t> </w:t>
      </w:r>
      <w:r>
        <w:rPr/>
        <w:t>Además,</w:t>
      </w:r>
      <w:r>
        <w:rPr>
          <w:spacing w:val="-15"/>
        </w:rPr>
        <w:t> </w:t>
      </w:r>
      <w:r>
        <w:rPr/>
        <w:t>el</w:t>
      </w:r>
      <w:r>
        <w:rPr>
          <w:spacing w:val="-15"/>
        </w:rPr>
        <w:t> </w:t>
      </w:r>
      <w:r>
        <w:rPr/>
        <w:t>nivel</w:t>
      </w:r>
      <w:r>
        <w:rPr>
          <w:spacing w:val="-15"/>
        </w:rPr>
        <w:t> </w:t>
      </w:r>
      <w:r>
        <w:rPr/>
        <w:t>explicativo</w:t>
      </w:r>
      <w:r>
        <w:rPr>
          <w:spacing w:val="-15"/>
        </w:rPr>
        <w:t> </w:t>
      </w:r>
      <w:r>
        <w:rPr/>
        <w:t>de</w:t>
      </w:r>
      <w:r>
        <w:rPr>
          <w:spacing w:val="-15"/>
        </w:rPr>
        <w:t> </w:t>
      </w:r>
      <w:r>
        <w:rPr/>
        <w:t>la</w:t>
      </w:r>
      <w:r>
        <w:rPr>
          <w:spacing w:val="-15"/>
        </w:rPr>
        <w:t> </w:t>
      </w:r>
      <w:r>
        <w:rPr/>
        <w:t>investigación y el uso del método deductivo permiten formular hipótesis basadas en teorías existentes, las cuales se probarán a través de la recolección de datos mediante encuestas</w:t>
      </w:r>
      <w:r>
        <w:rPr>
          <w:spacing w:val="-2"/>
        </w:rPr>
        <w:t> </w:t>
      </w:r>
      <w:r>
        <w:rPr/>
        <w:t>estructuradas,</w:t>
      </w:r>
      <w:r>
        <w:rPr>
          <w:spacing w:val="-1"/>
        </w:rPr>
        <w:t> </w:t>
      </w:r>
      <w:r>
        <w:rPr/>
        <w:t>asegurando</w:t>
      </w:r>
      <w:r>
        <w:rPr>
          <w:spacing w:val="-3"/>
        </w:rPr>
        <w:t> </w:t>
      </w:r>
      <w:r>
        <w:rPr/>
        <w:t>la</w:t>
      </w:r>
      <w:r>
        <w:rPr>
          <w:spacing w:val="-4"/>
        </w:rPr>
        <w:t> </w:t>
      </w:r>
      <w:r>
        <w:rPr/>
        <w:t>legitimidad</w:t>
      </w:r>
      <w:r>
        <w:rPr>
          <w:spacing w:val="-3"/>
        </w:rPr>
        <w:t> </w:t>
      </w:r>
      <w:r>
        <w:rPr/>
        <w:t>y</w:t>
      </w:r>
      <w:r>
        <w:rPr>
          <w:spacing w:val="-3"/>
        </w:rPr>
        <w:t> </w:t>
      </w:r>
      <w:r>
        <w:rPr/>
        <w:t>fiabilidad</w:t>
      </w:r>
      <w:r>
        <w:rPr>
          <w:spacing w:val="-3"/>
        </w:rPr>
        <w:t> </w:t>
      </w:r>
      <w:r>
        <w:rPr/>
        <w:t>de</w:t>
      </w:r>
      <w:r>
        <w:rPr>
          <w:spacing w:val="-3"/>
        </w:rPr>
        <w:t> </w:t>
      </w:r>
      <w:r>
        <w:rPr/>
        <w:t>los</w:t>
      </w:r>
      <w:r>
        <w:rPr>
          <w:spacing w:val="-2"/>
        </w:rPr>
        <w:t> </w:t>
      </w:r>
      <w:r>
        <w:rPr/>
        <w:t>resultados.</w:t>
      </w:r>
      <w:r>
        <w:rPr>
          <w:spacing w:val="-3"/>
        </w:rPr>
        <w:t> </w:t>
      </w:r>
      <w:r>
        <w:rPr/>
        <w:t>De este modo esta metodología no solo proporciona un marco riguroso para el análisis, sino que también facilita la identificación de patrones y tendencias que pueden orientar futuras investigaciones y políticas públicas en el ámbito fiscal y comercial.</w:t>
      </w:r>
    </w:p>
    <w:p>
      <w:pPr>
        <w:pStyle w:val="BodyText"/>
        <w:spacing w:after="0" w:line="480" w:lineRule="auto"/>
        <w:jc w:val="both"/>
        <w:sectPr>
          <w:headerReference w:type="default" r:id="rId32"/>
          <w:footerReference w:type="default" r:id="rId33"/>
          <w:pgSz w:w="11910" w:h="16840"/>
          <w:pgMar w:header="0" w:footer="693" w:top="1340" w:bottom="880" w:left="1559" w:right="425"/>
        </w:sectPr>
      </w:pPr>
    </w:p>
    <w:p>
      <w:pPr>
        <w:pStyle w:val="BodyText"/>
        <w:spacing w:before="45"/>
      </w:pPr>
      <w:r>
        <w:rPr/>
        <mc:AlternateContent>
          <mc:Choice Requires="wps">
            <w:drawing>
              <wp:anchor distT="0" distB="0" distL="0" distR="0" allowOverlap="1" layoutInCell="1" locked="0" behindDoc="1" simplePos="0" relativeHeight="486000128">
                <wp:simplePos x="0" y="0"/>
                <wp:positionH relativeFrom="page">
                  <wp:posOffset>6584568</wp:posOffset>
                </wp:positionH>
                <wp:positionV relativeFrom="page">
                  <wp:posOffset>456014</wp:posOffset>
                </wp:positionV>
                <wp:extent cx="76200" cy="168910"/>
                <wp:effectExtent l="0" t="0" r="0" b="0"/>
                <wp:wrapNone/>
                <wp:docPr id="93" name="Textbox 93"/>
                <wp:cNvGraphicFramePr>
                  <a:graphicFrameLocks/>
                </wp:cNvGraphicFramePr>
                <a:graphic>
                  <a:graphicData uri="http://schemas.microsoft.com/office/word/2010/wordprocessingShape">
                    <wps:wsp>
                      <wps:cNvPr id="93" name="Textbox 93"/>
                      <wps:cNvSpPr txBox="1"/>
                      <wps:spPr>
                        <a:xfrm>
                          <a:off x="0" y="0"/>
                          <a:ext cx="76200" cy="168910"/>
                        </a:xfrm>
                        <a:prstGeom prst="rect">
                          <a:avLst/>
                        </a:prstGeom>
                      </wps:spPr>
                      <wps:txbx>
                        <w:txbxContent>
                          <w:p>
                            <w:pPr>
                              <w:pStyle w:val="BodyText"/>
                              <w:spacing w:line="266" w:lineRule="exact"/>
                            </w:pPr>
                            <w:r>
                              <w:rPr>
                                <w:spacing w:val="-10"/>
                              </w:rPr>
                              <w:t>7</w:t>
                            </w:r>
                          </w:p>
                        </w:txbxContent>
                      </wps:txbx>
                      <wps:bodyPr wrap="square" lIns="0" tIns="0" rIns="0" bIns="0" rtlCol="0">
                        <a:noAutofit/>
                      </wps:bodyPr>
                    </wps:wsp>
                  </a:graphicData>
                </a:graphic>
              </wp:anchor>
            </w:drawing>
          </mc:Choice>
          <mc:Fallback>
            <w:pict>
              <v:shape style="position:absolute;margin-left:518.469971pt;margin-top:35.906666pt;width:6pt;height:13.3pt;mso-position-horizontal-relative:page;mso-position-vertical-relative:page;z-index:-17316352" type="#_x0000_t202" id="docshape72" filled="false" stroked="false">
                <v:textbox inset="0,0,0,0">
                  <w:txbxContent>
                    <w:p>
                      <w:pPr>
                        <w:pStyle w:val="BodyText"/>
                        <w:spacing w:line="266" w:lineRule="exact"/>
                      </w:pPr>
                      <w:r>
                        <w:rPr>
                          <w:spacing w:val="-10"/>
                        </w:rPr>
                        <w:t>7</w:t>
                      </w:r>
                    </w:p>
                  </w:txbxContent>
                </v:textbox>
                <w10:wrap type="none"/>
              </v:shape>
            </w:pict>
          </mc:Fallback>
        </mc:AlternateContent>
      </w:r>
      <w:r>
        <w:rPr/>
        <mc:AlternateContent>
          <mc:Choice Requires="wps">
            <w:drawing>
              <wp:anchor distT="0" distB="0" distL="0" distR="0" allowOverlap="1" layoutInCell="1" locked="0" behindDoc="0" simplePos="0" relativeHeight="15746560">
                <wp:simplePos x="0" y="0"/>
                <wp:positionH relativeFrom="page">
                  <wp:posOffset>6457950</wp:posOffset>
                </wp:positionH>
                <wp:positionV relativeFrom="page">
                  <wp:posOffset>352425</wp:posOffset>
                </wp:positionV>
                <wp:extent cx="276225" cy="323850"/>
                <wp:effectExtent l="0" t="0" r="0" b="0"/>
                <wp:wrapNone/>
                <wp:docPr id="94" name="Graphic 94"/>
                <wp:cNvGraphicFramePr>
                  <a:graphicFrameLocks/>
                </wp:cNvGraphicFramePr>
                <a:graphic>
                  <a:graphicData uri="http://schemas.microsoft.com/office/word/2010/wordprocessingShape">
                    <wps:wsp>
                      <wps:cNvPr id="94" name="Graphic 94"/>
                      <wps:cNvSpPr/>
                      <wps:spPr>
                        <a:xfrm>
                          <a:off x="0" y="0"/>
                          <a:ext cx="276225" cy="323850"/>
                        </a:xfrm>
                        <a:custGeom>
                          <a:avLst/>
                          <a:gdLst/>
                          <a:ahLst/>
                          <a:cxnLst/>
                          <a:rect l="l" t="t" r="r" b="b"/>
                          <a:pathLst>
                            <a:path w="276225" h="323850">
                              <a:moveTo>
                                <a:pt x="276225" y="0"/>
                              </a:moveTo>
                              <a:lnTo>
                                <a:pt x="0" y="0"/>
                              </a:lnTo>
                              <a:lnTo>
                                <a:pt x="0" y="323850"/>
                              </a:lnTo>
                              <a:lnTo>
                                <a:pt x="276225" y="323850"/>
                              </a:lnTo>
                              <a:lnTo>
                                <a:pt x="276225"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508.5pt;margin-top:27.750025pt;width:21.75pt;height:25.5pt;mso-position-horizontal-relative:page;mso-position-vertical-relative:page;z-index:15746560" id="docshape73" filled="true" fillcolor="#ffffff" stroked="false">
                <v:fill type="solid"/>
                <w10:wrap type="none"/>
              </v:rect>
            </w:pict>
          </mc:Fallback>
        </mc:AlternateContent>
      </w:r>
      <w:r>
        <w:rPr/>
        <w:drawing>
          <wp:anchor distT="0" distB="0" distL="0" distR="0" allowOverlap="1" layoutInCell="1" locked="0" behindDoc="0" simplePos="0" relativeHeight="15747072">
            <wp:simplePos x="0" y="0"/>
            <wp:positionH relativeFrom="page">
              <wp:posOffset>0</wp:posOffset>
            </wp:positionH>
            <wp:positionV relativeFrom="page">
              <wp:posOffset>0</wp:posOffset>
            </wp:positionV>
            <wp:extent cx="7559040" cy="858265"/>
            <wp:effectExtent l="0" t="0" r="0" b="0"/>
            <wp:wrapNone/>
            <wp:docPr id="95" name="Image 95"/>
            <wp:cNvGraphicFramePr>
              <a:graphicFrameLocks/>
            </wp:cNvGraphicFramePr>
            <a:graphic>
              <a:graphicData uri="http://schemas.openxmlformats.org/drawingml/2006/picture">
                <pic:pic>
                  <pic:nvPicPr>
                    <pic:cNvPr id="95" name="Image 95"/>
                    <pic:cNvPicPr/>
                  </pic:nvPicPr>
                  <pic:blipFill>
                    <a:blip r:embed="rId5" cstate="print"/>
                    <a:stretch>
                      <a:fillRect/>
                    </a:stretch>
                  </pic:blipFill>
                  <pic:spPr>
                    <a:xfrm>
                      <a:off x="0" y="0"/>
                      <a:ext cx="7559040" cy="858265"/>
                    </a:xfrm>
                    <a:prstGeom prst="rect">
                      <a:avLst/>
                    </a:prstGeom>
                  </pic:spPr>
                </pic:pic>
              </a:graphicData>
            </a:graphic>
          </wp:anchor>
        </w:drawing>
      </w:r>
    </w:p>
    <w:p>
      <w:pPr>
        <w:pStyle w:val="Heading2"/>
        <w:ind w:right="846"/>
      </w:pPr>
      <w:bookmarkStart w:name="_bookmark18" w:id="19"/>
      <w:bookmarkEnd w:id="19"/>
      <w:r>
        <w:rPr>
          <w:b w:val="0"/>
        </w:rPr>
      </w:r>
      <w:bookmarkStart w:name="_bookmark19" w:id="20"/>
      <w:bookmarkEnd w:id="20"/>
      <w:r>
        <w:rPr>
          <w:b w:val="0"/>
        </w:rPr>
      </w:r>
      <w:r>
        <w:rPr>
          <w:spacing w:val="-2"/>
        </w:rPr>
        <w:t>OBJETIVOS</w:t>
      </w:r>
    </w:p>
    <w:p>
      <w:pPr>
        <w:pStyle w:val="BodyText"/>
        <w:spacing w:before="120"/>
        <w:rPr>
          <w:b/>
        </w:rPr>
      </w:pPr>
    </w:p>
    <w:p>
      <w:pPr>
        <w:pStyle w:val="Heading3"/>
        <w:numPr>
          <w:ilvl w:val="1"/>
          <w:numId w:val="9"/>
        </w:numPr>
        <w:tabs>
          <w:tab w:pos="568" w:val="left" w:leader="none"/>
        </w:tabs>
        <w:spacing w:line="240" w:lineRule="auto" w:before="1" w:after="0"/>
        <w:ind w:left="568" w:right="0" w:hanging="425"/>
        <w:jc w:val="left"/>
      </w:pPr>
      <w:bookmarkStart w:name="_bookmark20" w:id="21"/>
      <w:bookmarkEnd w:id="21"/>
      <w:r>
        <w:rPr>
          <w:b w:val="0"/>
        </w:rPr>
      </w:r>
      <w:r>
        <w:rPr/>
        <w:t>Objetivo</w:t>
      </w:r>
      <w:r>
        <w:rPr>
          <w:spacing w:val="-1"/>
        </w:rPr>
        <w:t> </w:t>
      </w:r>
      <w:r>
        <w:rPr>
          <w:spacing w:val="-2"/>
        </w:rPr>
        <w:t>general</w:t>
      </w:r>
    </w:p>
    <w:p>
      <w:pPr>
        <w:pStyle w:val="BodyText"/>
        <w:spacing w:line="480" w:lineRule="auto" w:before="276"/>
        <w:ind w:left="569" w:right="986" w:firstLine="12"/>
      </w:pPr>
      <w:r>
        <w:rPr/>
        <w:t>Determinar</w:t>
      </w:r>
      <w:r>
        <w:rPr>
          <w:spacing w:val="-10"/>
        </w:rPr>
        <w:t> </w:t>
      </w:r>
      <w:r>
        <w:rPr/>
        <w:t>la</w:t>
      </w:r>
      <w:r>
        <w:rPr>
          <w:spacing w:val="-11"/>
        </w:rPr>
        <w:t> </w:t>
      </w:r>
      <w:r>
        <w:rPr/>
        <w:t>Influencia</w:t>
      </w:r>
      <w:r>
        <w:rPr>
          <w:spacing w:val="-12"/>
        </w:rPr>
        <w:t> </w:t>
      </w:r>
      <w:r>
        <w:rPr/>
        <w:t>del</w:t>
      </w:r>
      <w:r>
        <w:rPr>
          <w:spacing w:val="-10"/>
        </w:rPr>
        <w:t> </w:t>
      </w:r>
      <w:r>
        <w:rPr/>
        <w:t>impuesto</w:t>
      </w:r>
      <w:r>
        <w:rPr>
          <w:spacing w:val="-10"/>
        </w:rPr>
        <w:t> </w:t>
      </w:r>
      <w:r>
        <w:rPr/>
        <w:t>general</w:t>
      </w:r>
      <w:r>
        <w:rPr>
          <w:spacing w:val="-12"/>
        </w:rPr>
        <w:t> </w:t>
      </w:r>
      <w:r>
        <w:rPr/>
        <w:t>de</w:t>
      </w:r>
      <w:r>
        <w:rPr>
          <w:spacing w:val="-10"/>
        </w:rPr>
        <w:t> </w:t>
      </w:r>
      <w:r>
        <w:rPr/>
        <w:t>las</w:t>
      </w:r>
      <w:r>
        <w:rPr>
          <w:spacing w:val="-11"/>
        </w:rPr>
        <w:t> </w:t>
      </w:r>
      <w:r>
        <w:rPr/>
        <w:t>ventas</w:t>
      </w:r>
      <w:r>
        <w:rPr>
          <w:spacing w:val="-9"/>
        </w:rPr>
        <w:t> </w:t>
      </w:r>
      <w:r>
        <w:rPr/>
        <w:t>en</w:t>
      </w:r>
      <w:r>
        <w:rPr>
          <w:spacing w:val="-10"/>
        </w:rPr>
        <w:t> </w:t>
      </w:r>
      <w:r>
        <w:rPr/>
        <w:t>la</w:t>
      </w:r>
      <w:r>
        <w:rPr>
          <w:spacing w:val="-13"/>
        </w:rPr>
        <w:t> </w:t>
      </w:r>
      <w:r>
        <w:rPr/>
        <w:t>percepción</w:t>
      </w:r>
      <w:r>
        <w:rPr>
          <w:spacing w:val="-11"/>
        </w:rPr>
        <w:t> </w:t>
      </w:r>
      <w:r>
        <w:rPr/>
        <w:t>económica de los comerciantes del centro de abastos las Mercedes de Juliaca, 2023.</w:t>
      </w:r>
    </w:p>
    <w:p>
      <w:pPr>
        <w:pStyle w:val="Heading3"/>
        <w:numPr>
          <w:ilvl w:val="1"/>
          <w:numId w:val="9"/>
        </w:numPr>
        <w:tabs>
          <w:tab w:pos="568" w:val="left" w:leader="none"/>
        </w:tabs>
        <w:spacing w:line="240" w:lineRule="auto" w:before="0" w:after="0"/>
        <w:ind w:left="568" w:right="0" w:hanging="425"/>
        <w:jc w:val="left"/>
      </w:pPr>
      <w:bookmarkStart w:name="_bookmark21" w:id="22"/>
      <w:bookmarkEnd w:id="22"/>
      <w:r>
        <w:rPr>
          <w:b w:val="0"/>
        </w:rPr>
      </w:r>
      <w:r>
        <w:rPr/>
        <w:t>Objetivos</w:t>
      </w:r>
      <w:r>
        <w:rPr>
          <w:spacing w:val="-1"/>
        </w:rPr>
        <w:t> </w:t>
      </w:r>
      <w:r>
        <w:rPr>
          <w:spacing w:val="-2"/>
        </w:rPr>
        <w:t>específicos</w:t>
      </w:r>
    </w:p>
    <w:p>
      <w:pPr>
        <w:pStyle w:val="BodyText"/>
        <w:rPr>
          <w:b/>
        </w:rPr>
      </w:pPr>
    </w:p>
    <w:p>
      <w:pPr>
        <w:pStyle w:val="ListParagraph"/>
        <w:numPr>
          <w:ilvl w:val="2"/>
          <w:numId w:val="9"/>
        </w:numPr>
        <w:tabs>
          <w:tab w:pos="1583" w:val="left" w:leader="none"/>
          <w:tab w:pos="1642" w:val="left" w:leader="none"/>
        </w:tabs>
        <w:spacing w:line="470" w:lineRule="auto" w:before="0" w:after="0"/>
        <w:ind w:left="1583" w:right="989" w:hanging="360"/>
        <w:jc w:val="both"/>
        <w:rPr>
          <w:sz w:val="24"/>
        </w:rPr>
      </w:pPr>
      <w:r>
        <w:rPr>
          <w:sz w:val="24"/>
        </w:rPr>
        <w:t>Determinar</w:t>
      </w:r>
      <w:r>
        <w:rPr>
          <w:spacing w:val="40"/>
          <w:sz w:val="24"/>
        </w:rPr>
        <w:t> </w:t>
      </w:r>
      <w:r>
        <w:rPr>
          <w:sz w:val="24"/>
        </w:rPr>
        <w:t>la influencia de la estabilidad económica en la percepción económica</w:t>
      </w:r>
      <w:r>
        <w:rPr>
          <w:spacing w:val="-14"/>
          <w:sz w:val="24"/>
        </w:rPr>
        <w:t> </w:t>
      </w:r>
      <w:r>
        <w:rPr>
          <w:sz w:val="24"/>
        </w:rPr>
        <w:t>de</w:t>
      </w:r>
      <w:r>
        <w:rPr>
          <w:spacing w:val="-12"/>
          <w:sz w:val="24"/>
        </w:rPr>
        <w:t> </w:t>
      </w:r>
      <w:r>
        <w:rPr>
          <w:sz w:val="24"/>
        </w:rPr>
        <w:t>los</w:t>
      </w:r>
      <w:r>
        <w:rPr>
          <w:spacing w:val="-13"/>
          <w:sz w:val="24"/>
        </w:rPr>
        <w:t> </w:t>
      </w:r>
      <w:r>
        <w:rPr>
          <w:sz w:val="24"/>
        </w:rPr>
        <w:t>comerciantes</w:t>
      </w:r>
      <w:r>
        <w:rPr>
          <w:spacing w:val="-13"/>
          <w:sz w:val="24"/>
        </w:rPr>
        <w:t> </w:t>
      </w:r>
      <w:r>
        <w:rPr>
          <w:sz w:val="24"/>
        </w:rPr>
        <w:t>del</w:t>
      </w:r>
      <w:r>
        <w:rPr>
          <w:spacing w:val="-14"/>
          <w:sz w:val="24"/>
        </w:rPr>
        <w:t> </w:t>
      </w:r>
      <w:r>
        <w:rPr>
          <w:sz w:val="24"/>
        </w:rPr>
        <w:t>centro</w:t>
      </w:r>
      <w:r>
        <w:rPr>
          <w:spacing w:val="-12"/>
          <w:sz w:val="24"/>
        </w:rPr>
        <w:t> </w:t>
      </w:r>
      <w:r>
        <w:rPr>
          <w:sz w:val="24"/>
        </w:rPr>
        <w:t>de</w:t>
      </w:r>
      <w:r>
        <w:rPr>
          <w:spacing w:val="-14"/>
          <w:sz w:val="24"/>
        </w:rPr>
        <w:t> </w:t>
      </w:r>
      <w:r>
        <w:rPr>
          <w:sz w:val="24"/>
        </w:rPr>
        <w:t>abastos</w:t>
      </w:r>
      <w:r>
        <w:rPr>
          <w:spacing w:val="-11"/>
          <w:sz w:val="24"/>
        </w:rPr>
        <w:t> </w:t>
      </w:r>
      <w:r>
        <w:rPr>
          <w:sz w:val="24"/>
        </w:rPr>
        <w:t>las</w:t>
      </w:r>
      <w:r>
        <w:rPr>
          <w:spacing w:val="-13"/>
          <w:sz w:val="24"/>
        </w:rPr>
        <w:t> </w:t>
      </w:r>
      <w:r>
        <w:rPr>
          <w:sz w:val="24"/>
        </w:rPr>
        <w:t>Mercedes</w:t>
      </w:r>
      <w:r>
        <w:rPr>
          <w:spacing w:val="-12"/>
          <w:sz w:val="24"/>
        </w:rPr>
        <w:t> </w:t>
      </w:r>
      <w:r>
        <w:rPr>
          <w:sz w:val="24"/>
        </w:rPr>
        <w:t>de</w:t>
      </w:r>
      <w:r>
        <w:rPr>
          <w:spacing w:val="-14"/>
          <w:sz w:val="24"/>
        </w:rPr>
        <w:t> </w:t>
      </w:r>
      <w:r>
        <w:rPr>
          <w:sz w:val="24"/>
        </w:rPr>
        <w:t>Juliaca, </w:t>
      </w:r>
      <w:r>
        <w:rPr>
          <w:spacing w:val="-2"/>
          <w:sz w:val="24"/>
        </w:rPr>
        <w:t>2023.</w:t>
      </w:r>
    </w:p>
    <w:p>
      <w:pPr>
        <w:pStyle w:val="ListParagraph"/>
        <w:numPr>
          <w:ilvl w:val="2"/>
          <w:numId w:val="9"/>
        </w:numPr>
        <w:tabs>
          <w:tab w:pos="1583" w:val="left" w:leader="none"/>
        </w:tabs>
        <w:spacing w:line="472" w:lineRule="auto" w:before="14" w:after="0"/>
        <w:ind w:left="1583" w:right="989" w:hanging="360"/>
        <w:jc w:val="both"/>
        <w:rPr>
          <w:sz w:val="24"/>
        </w:rPr>
      </w:pPr>
      <w:r>
        <w:rPr>
          <w:sz w:val="24"/>
        </w:rPr>
        <w:t>Determinar la influencia de la liquidez económica en la percepción económica</w:t>
      </w:r>
      <w:r>
        <w:rPr>
          <w:spacing w:val="-14"/>
          <w:sz w:val="24"/>
        </w:rPr>
        <w:t> </w:t>
      </w:r>
      <w:r>
        <w:rPr>
          <w:sz w:val="24"/>
        </w:rPr>
        <w:t>de</w:t>
      </w:r>
      <w:r>
        <w:rPr>
          <w:spacing w:val="-12"/>
          <w:sz w:val="24"/>
        </w:rPr>
        <w:t> </w:t>
      </w:r>
      <w:r>
        <w:rPr>
          <w:sz w:val="24"/>
        </w:rPr>
        <w:t>los</w:t>
      </w:r>
      <w:r>
        <w:rPr>
          <w:spacing w:val="-13"/>
          <w:sz w:val="24"/>
        </w:rPr>
        <w:t> </w:t>
      </w:r>
      <w:r>
        <w:rPr>
          <w:sz w:val="24"/>
        </w:rPr>
        <w:t>comerciantes</w:t>
      </w:r>
      <w:r>
        <w:rPr>
          <w:spacing w:val="-13"/>
          <w:sz w:val="24"/>
        </w:rPr>
        <w:t> </w:t>
      </w:r>
      <w:r>
        <w:rPr>
          <w:sz w:val="24"/>
        </w:rPr>
        <w:t>del</w:t>
      </w:r>
      <w:r>
        <w:rPr>
          <w:spacing w:val="-14"/>
          <w:sz w:val="24"/>
        </w:rPr>
        <w:t> </w:t>
      </w:r>
      <w:r>
        <w:rPr>
          <w:sz w:val="24"/>
        </w:rPr>
        <w:t>centro</w:t>
      </w:r>
      <w:r>
        <w:rPr>
          <w:spacing w:val="-12"/>
          <w:sz w:val="24"/>
        </w:rPr>
        <w:t> </w:t>
      </w:r>
      <w:r>
        <w:rPr>
          <w:sz w:val="24"/>
        </w:rPr>
        <w:t>de</w:t>
      </w:r>
      <w:r>
        <w:rPr>
          <w:spacing w:val="-14"/>
          <w:sz w:val="24"/>
        </w:rPr>
        <w:t> </w:t>
      </w:r>
      <w:r>
        <w:rPr>
          <w:sz w:val="24"/>
        </w:rPr>
        <w:t>abastos</w:t>
      </w:r>
      <w:r>
        <w:rPr>
          <w:spacing w:val="-11"/>
          <w:sz w:val="24"/>
        </w:rPr>
        <w:t> </w:t>
      </w:r>
      <w:r>
        <w:rPr>
          <w:sz w:val="24"/>
        </w:rPr>
        <w:t>las</w:t>
      </w:r>
      <w:r>
        <w:rPr>
          <w:spacing w:val="-13"/>
          <w:sz w:val="24"/>
        </w:rPr>
        <w:t> </w:t>
      </w:r>
      <w:r>
        <w:rPr>
          <w:sz w:val="24"/>
        </w:rPr>
        <w:t>Mercedes</w:t>
      </w:r>
      <w:r>
        <w:rPr>
          <w:spacing w:val="-12"/>
          <w:sz w:val="24"/>
        </w:rPr>
        <w:t> </w:t>
      </w:r>
      <w:r>
        <w:rPr>
          <w:sz w:val="24"/>
        </w:rPr>
        <w:t>de</w:t>
      </w:r>
      <w:r>
        <w:rPr>
          <w:spacing w:val="-14"/>
          <w:sz w:val="24"/>
        </w:rPr>
        <w:t> </w:t>
      </w:r>
      <w:r>
        <w:rPr>
          <w:sz w:val="24"/>
        </w:rPr>
        <w:t>Juliaca, </w:t>
      </w:r>
      <w:r>
        <w:rPr>
          <w:spacing w:val="-2"/>
          <w:sz w:val="24"/>
        </w:rPr>
        <w:t>2023.</w:t>
      </w:r>
    </w:p>
    <w:p>
      <w:pPr>
        <w:pStyle w:val="ListParagraph"/>
        <w:numPr>
          <w:ilvl w:val="2"/>
          <w:numId w:val="9"/>
        </w:numPr>
        <w:tabs>
          <w:tab w:pos="1583" w:val="left" w:leader="none"/>
        </w:tabs>
        <w:spacing w:line="472" w:lineRule="auto" w:before="8" w:after="0"/>
        <w:ind w:left="1583" w:right="991" w:hanging="360"/>
        <w:jc w:val="both"/>
        <w:rPr>
          <w:sz w:val="24"/>
        </w:rPr>
      </w:pPr>
      <w:r>
        <w:rPr>
          <w:sz w:val="24"/>
        </w:rPr>
        <w:t>Determinar la influencia de la seguridad económica en la percepción económica</w:t>
      </w:r>
      <w:r>
        <w:rPr>
          <w:spacing w:val="-14"/>
          <w:sz w:val="24"/>
        </w:rPr>
        <w:t> </w:t>
      </w:r>
      <w:r>
        <w:rPr>
          <w:sz w:val="24"/>
        </w:rPr>
        <w:t>de</w:t>
      </w:r>
      <w:r>
        <w:rPr>
          <w:spacing w:val="-12"/>
          <w:sz w:val="24"/>
        </w:rPr>
        <w:t> </w:t>
      </w:r>
      <w:r>
        <w:rPr>
          <w:sz w:val="24"/>
        </w:rPr>
        <w:t>los</w:t>
      </w:r>
      <w:r>
        <w:rPr>
          <w:spacing w:val="-13"/>
          <w:sz w:val="24"/>
        </w:rPr>
        <w:t> </w:t>
      </w:r>
      <w:r>
        <w:rPr>
          <w:sz w:val="24"/>
        </w:rPr>
        <w:t>comerciantes</w:t>
      </w:r>
      <w:r>
        <w:rPr>
          <w:spacing w:val="-13"/>
          <w:sz w:val="24"/>
        </w:rPr>
        <w:t> </w:t>
      </w:r>
      <w:r>
        <w:rPr>
          <w:sz w:val="24"/>
        </w:rPr>
        <w:t>del</w:t>
      </w:r>
      <w:r>
        <w:rPr>
          <w:spacing w:val="-14"/>
          <w:sz w:val="24"/>
        </w:rPr>
        <w:t> </w:t>
      </w:r>
      <w:r>
        <w:rPr>
          <w:sz w:val="24"/>
        </w:rPr>
        <w:t>centro</w:t>
      </w:r>
      <w:r>
        <w:rPr>
          <w:spacing w:val="-12"/>
          <w:sz w:val="24"/>
        </w:rPr>
        <w:t> </w:t>
      </w:r>
      <w:r>
        <w:rPr>
          <w:sz w:val="24"/>
        </w:rPr>
        <w:t>de</w:t>
      </w:r>
      <w:r>
        <w:rPr>
          <w:spacing w:val="-14"/>
          <w:sz w:val="24"/>
        </w:rPr>
        <w:t> </w:t>
      </w:r>
      <w:r>
        <w:rPr>
          <w:sz w:val="24"/>
        </w:rPr>
        <w:t>abastos</w:t>
      </w:r>
      <w:r>
        <w:rPr>
          <w:spacing w:val="-11"/>
          <w:sz w:val="24"/>
        </w:rPr>
        <w:t> </w:t>
      </w:r>
      <w:r>
        <w:rPr>
          <w:sz w:val="24"/>
        </w:rPr>
        <w:t>las</w:t>
      </w:r>
      <w:r>
        <w:rPr>
          <w:spacing w:val="-13"/>
          <w:sz w:val="24"/>
        </w:rPr>
        <w:t> </w:t>
      </w:r>
      <w:r>
        <w:rPr>
          <w:sz w:val="24"/>
        </w:rPr>
        <w:t>Mercedes</w:t>
      </w:r>
      <w:r>
        <w:rPr>
          <w:spacing w:val="-13"/>
          <w:sz w:val="24"/>
        </w:rPr>
        <w:t> </w:t>
      </w:r>
      <w:r>
        <w:rPr>
          <w:sz w:val="24"/>
        </w:rPr>
        <w:t>de</w:t>
      </w:r>
      <w:r>
        <w:rPr>
          <w:spacing w:val="-13"/>
          <w:sz w:val="24"/>
        </w:rPr>
        <w:t> </w:t>
      </w:r>
      <w:r>
        <w:rPr>
          <w:sz w:val="24"/>
        </w:rPr>
        <w:t>Juliaca, </w:t>
      </w:r>
      <w:r>
        <w:rPr>
          <w:spacing w:val="-2"/>
          <w:sz w:val="24"/>
        </w:rPr>
        <w:t>2023.</w:t>
      </w:r>
    </w:p>
    <w:p>
      <w:pPr>
        <w:pStyle w:val="ListParagraph"/>
        <w:spacing w:after="0" w:line="472" w:lineRule="auto"/>
        <w:jc w:val="both"/>
        <w:rPr>
          <w:sz w:val="24"/>
        </w:rPr>
        <w:sectPr>
          <w:headerReference w:type="default" r:id="rId34"/>
          <w:footerReference w:type="default" r:id="rId35"/>
          <w:pgSz w:w="11910" w:h="16840"/>
          <w:pgMar w:header="1430" w:footer="693" w:top="1740" w:bottom="880" w:left="1559" w:right="425"/>
          <w:pgNumType w:start="2"/>
        </w:sectPr>
      </w:pPr>
    </w:p>
    <w:p>
      <w:pPr>
        <w:pStyle w:val="BodyText"/>
        <w:spacing w:before="45"/>
      </w:pPr>
      <w:r>
        <w:rPr/>
        <mc:AlternateContent>
          <mc:Choice Requires="wps">
            <w:drawing>
              <wp:anchor distT="0" distB="0" distL="0" distR="0" allowOverlap="1" layoutInCell="1" locked="0" behindDoc="1" simplePos="0" relativeHeight="486001664">
                <wp:simplePos x="0" y="0"/>
                <wp:positionH relativeFrom="page">
                  <wp:posOffset>6584568</wp:posOffset>
                </wp:positionH>
                <wp:positionV relativeFrom="page">
                  <wp:posOffset>456014</wp:posOffset>
                </wp:positionV>
                <wp:extent cx="76200" cy="168910"/>
                <wp:effectExtent l="0" t="0" r="0" b="0"/>
                <wp:wrapNone/>
                <wp:docPr id="96" name="Textbox 96"/>
                <wp:cNvGraphicFramePr>
                  <a:graphicFrameLocks/>
                </wp:cNvGraphicFramePr>
                <a:graphic>
                  <a:graphicData uri="http://schemas.microsoft.com/office/word/2010/wordprocessingShape">
                    <wps:wsp>
                      <wps:cNvPr id="96" name="Textbox 96"/>
                      <wps:cNvSpPr txBox="1"/>
                      <wps:spPr>
                        <a:xfrm>
                          <a:off x="0" y="0"/>
                          <a:ext cx="76200" cy="168910"/>
                        </a:xfrm>
                        <a:prstGeom prst="rect">
                          <a:avLst/>
                        </a:prstGeom>
                      </wps:spPr>
                      <wps:txbx>
                        <w:txbxContent>
                          <w:p>
                            <w:pPr>
                              <w:pStyle w:val="BodyText"/>
                              <w:spacing w:line="266" w:lineRule="exact"/>
                            </w:pPr>
                            <w:r>
                              <w:rPr>
                                <w:spacing w:val="-10"/>
                              </w:rPr>
                              <w:t>8</w:t>
                            </w:r>
                          </w:p>
                        </w:txbxContent>
                      </wps:txbx>
                      <wps:bodyPr wrap="square" lIns="0" tIns="0" rIns="0" bIns="0" rtlCol="0">
                        <a:noAutofit/>
                      </wps:bodyPr>
                    </wps:wsp>
                  </a:graphicData>
                </a:graphic>
              </wp:anchor>
            </w:drawing>
          </mc:Choice>
          <mc:Fallback>
            <w:pict>
              <v:shape style="position:absolute;margin-left:518.469971pt;margin-top:35.906666pt;width:6pt;height:13.3pt;mso-position-horizontal-relative:page;mso-position-vertical-relative:page;z-index:-17314816" type="#_x0000_t202" id="docshape74" filled="false" stroked="false">
                <v:textbox inset="0,0,0,0">
                  <w:txbxContent>
                    <w:p>
                      <w:pPr>
                        <w:pStyle w:val="BodyText"/>
                        <w:spacing w:line="266" w:lineRule="exact"/>
                      </w:pPr>
                      <w:r>
                        <w:rPr>
                          <w:spacing w:val="-10"/>
                        </w:rPr>
                        <w:t>8</w:t>
                      </w:r>
                    </w:p>
                  </w:txbxContent>
                </v:textbox>
                <w10:wrap type="none"/>
              </v:shape>
            </w:pict>
          </mc:Fallback>
        </mc:AlternateContent>
      </w:r>
      <w:r>
        <w:rPr/>
        <mc:AlternateContent>
          <mc:Choice Requires="wps">
            <w:drawing>
              <wp:anchor distT="0" distB="0" distL="0" distR="0" allowOverlap="1" layoutInCell="1" locked="0" behindDoc="0" simplePos="0" relativeHeight="15748096">
                <wp:simplePos x="0" y="0"/>
                <wp:positionH relativeFrom="page">
                  <wp:posOffset>6362700</wp:posOffset>
                </wp:positionH>
                <wp:positionV relativeFrom="page">
                  <wp:posOffset>361950</wp:posOffset>
                </wp:positionV>
                <wp:extent cx="485775" cy="409575"/>
                <wp:effectExtent l="0" t="0" r="0" b="0"/>
                <wp:wrapNone/>
                <wp:docPr id="97" name="Graphic 97"/>
                <wp:cNvGraphicFramePr>
                  <a:graphicFrameLocks/>
                </wp:cNvGraphicFramePr>
                <a:graphic>
                  <a:graphicData uri="http://schemas.microsoft.com/office/word/2010/wordprocessingShape">
                    <wps:wsp>
                      <wps:cNvPr id="97" name="Graphic 97"/>
                      <wps:cNvSpPr/>
                      <wps:spPr>
                        <a:xfrm>
                          <a:off x="0" y="0"/>
                          <a:ext cx="485775" cy="409575"/>
                        </a:xfrm>
                        <a:custGeom>
                          <a:avLst/>
                          <a:gdLst/>
                          <a:ahLst/>
                          <a:cxnLst/>
                          <a:rect l="l" t="t" r="r" b="b"/>
                          <a:pathLst>
                            <a:path w="485775" h="409575">
                              <a:moveTo>
                                <a:pt x="485775" y="0"/>
                              </a:moveTo>
                              <a:lnTo>
                                <a:pt x="0" y="0"/>
                              </a:lnTo>
                              <a:lnTo>
                                <a:pt x="0" y="409575"/>
                              </a:lnTo>
                              <a:lnTo>
                                <a:pt x="485775" y="409575"/>
                              </a:lnTo>
                              <a:lnTo>
                                <a:pt x="485775"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501pt;margin-top:28.500025pt;width:38.25pt;height:32.25pt;mso-position-horizontal-relative:page;mso-position-vertical-relative:page;z-index:15748096" id="docshape75" filled="true" fillcolor="#ffffff" stroked="false">
                <v:fill type="solid"/>
                <w10:wrap type="none"/>
              </v:rect>
            </w:pict>
          </mc:Fallback>
        </mc:AlternateContent>
      </w:r>
      <w:r>
        <w:rPr/>
        <w:drawing>
          <wp:anchor distT="0" distB="0" distL="0" distR="0" allowOverlap="1" layoutInCell="1" locked="0" behindDoc="0" simplePos="0" relativeHeight="15748608">
            <wp:simplePos x="0" y="0"/>
            <wp:positionH relativeFrom="page">
              <wp:posOffset>0</wp:posOffset>
            </wp:positionH>
            <wp:positionV relativeFrom="page">
              <wp:posOffset>0</wp:posOffset>
            </wp:positionV>
            <wp:extent cx="7559040" cy="858265"/>
            <wp:effectExtent l="0" t="0" r="0" b="0"/>
            <wp:wrapNone/>
            <wp:docPr id="98" name="Image 98"/>
            <wp:cNvGraphicFramePr>
              <a:graphicFrameLocks/>
            </wp:cNvGraphicFramePr>
            <a:graphic>
              <a:graphicData uri="http://schemas.openxmlformats.org/drawingml/2006/picture">
                <pic:pic>
                  <pic:nvPicPr>
                    <pic:cNvPr id="98" name="Image 98"/>
                    <pic:cNvPicPr/>
                  </pic:nvPicPr>
                  <pic:blipFill>
                    <a:blip r:embed="rId5" cstate="print"/>
                    <a:stretch>
                      <a:fillRect/>
                    </a:stretch>
                  </pic:blipFill>
                  <pic:spPr>
                    <a:xfrm>
                      <a:off x="0" y="0"/>
                      <a:ext cx="7559040" cy="858265"/>
                    </a:xfrm>
                    <a:prstGeom prst="rect">
                      <a:avLst/>
                    </a:prstGeom>
                  </pic:spPr>
                </pic:pic>
              </a:graphicData>
            </a:graphic>
          </wp:anchor>
        </w:drawing>
      </w:r>
    </w:p>
    <w:p>
      <w:pPr>
        <w:pStyle w:val="Heading2"/>
        <w:ind w:left="2569"/>
        <w:jc w:val="left"/>
      </w:pPr>
      <w:bookmarkStart w:name="_bookmark22" w:id="23"/>
      <w:bookmarkEnd w:id="23"/>
      <w:r>
        <w:rPr>
          <w:b w:val="0"/>
        </w:rPr>
      </w:r>
      <w:bookmarkStart w:name="_bookmark23" w:id="24"/>
      <w:bookmarkEnd w:id="24"/>
      <w:r>
        <w:rPr>
          <w:b w:val="0"/>
        </w:rPr>
      </w:r>
      <w:r>
        <w:rPr/>
        <w:t>MARCO</w:t>
      </w:r>
      <w:r>
        <w:rPr>
          <w:spacing w:val="-1"/>
        </w:rPr>
        <w:t> </w:t>
      </w:r>
      <w:r>
        <w:rPr/>
        <w:t>TEÓRICO</w:t>
      </w:r>
      <w:r>
        <w:rPr>
          <w:spacing w:val="-2"/>
        </w:rPr>
        <w:t> REFERENCIAL</w:t>
      </w:r>
    </w:p>
    <w:p>
      <w:pPr>
        <w:pStyle w:val="BodyText"/>
        <w:spacing w:before="120"/>
        <w:rPr>
          <w:b/>
        </w:rPr>
      </w:pPr>
    </w:p>
    <w:p>
      <w:pPr>
        <w:pStyle w:val="Heading3"/>
        <w:numPr>
          <w:ilvl w:val="1"/>
          <w:numId w:val="10"/>
        </w:numPr>
        <w:tabs>
          <w:tab w:pos="568" w:val="left" w:leader="none"/>
        </w:tabs>
        <w:spacing w:line="240" w:lineRule="auto" w:before="1" w:after="0"/>
        <w:ind w:left="568" w:right="0" w:hanging="425"/>
        <w:jc w:val="left"/>
      </w:pPr>
      <w:bookmarkStart w:name="_bookmark24" w:id="25"/>
      <w:bookmarkEnd w:id="25"/>
      <w:r>
        <w:rPr>
          <w:b w:val="0"/>
        </w:rPr>
      </w:r>
      <w:r>
        <w:rPr/>
        <w:t>Antecedentes</w:t>
      </w:r>
      <w:r>
        <w:rPr>
          <w:spacing w:val="-1"/>
        </w:rPr>
        <w:t> </w:t>
      </w:r>
      <w:r>
        <w:rPr/>
        <w:t>de</w:t>
      </w:r>
      <w:r>
        <w:rPr>
          <w:spacing w:val="-1"/>
        </w:rPr>
        <w:t> </w:t>
      </w:r>
      <w:r>
        <w:rPr/>
        <w:t>la</w:t>
      </w:r>
      <w:r>
        <w:rPr>
          <w:spacing w:val="-1"/>
        </w:rPr>
        <w:t> </w:t>
      </w:r>
      <w:r>
        <w:rPr>
          <w:spacing w:val="-2"/>
        </w:rPr>
        <w:t>investigación</w:t>
      </w:r>
    </w:p>
    <w:p>
      <w:pPr>
        <w:pStyle w:val="Heading4"/>
        <w:numPr>
          <w:ilvl w:val="2"/>
          <w:numId w:val="10"/>
        </w:numPr>
        <w:tabs>
          <w:tab w:pos="1033" w:val="left" w:leader="none"/>
        </w:tabs>
        <w:spacing w:line="240" w:lineRule="auto" w:before="276" w:after="0"/>
        <w:ind w:left="1033" w:right="0" w:hanging="606"/>
        <w:jc w:val="left"/>
      </w:pPr>
      <w:bookmarkStart w:name="_bookmark25" w:id="26"/>
      <w:bookmarkEnd w:id="26"/>
      <w:r>
        <w:rPr>
          <w:b w:val="0"/>
          <w:i w:val="0"/>
        </w:rPr>
      </w:r>
      <w:r>
        <w:rPr/>
        <w:t>A</w:t>
      </w:r>
      <w:r>
        <w:rPr>
          <w:spacing w:val="-1"/>
        </w:rPr>
        <w:t> </w:t>
      </w:r>
      <w:r>
        <w:rPr/>
        <w:t>nivel</w:t>
      </w:r>
      <w:r>
        <w:rPr>
          <w:spacing w:val="-2"/>
        </w:rPr>
        <w:t> internacional</w:t>
      </w:r>
    </w:p>
    <w:p>
      <w:pPr>
        <w:pStyle w:val="BodyText"/>
        <w:spacing w:line="480" w:lineRule="auto" w:before="276"/>
        <w:ind w:left="995" w:right="990" w:firstLine="720"/>
        <w:jc w:val="both"/>
      </w:pPr>
      <w:r>
        <w:rPr/>
        <w:t>Virgili</w:t>
      </w:r>
      <w:r>
        <w:rPr>
          <w:spacing w:val="-14"/>
        </w:rPr>
        <w:t> </w:t>
      </w:r>
      <w:r>
        <w:rPr/>
        <w:t>et</w:t>
      </w:r>
      <w:r>
        <w:rPr>
          <w:spacing w:val="-14"/>
        </w:rPr>
        <w:t> </w:t>
      </w:r>
      <w:r>
        <w:rPr/>
        <w:t>al.</w:t>
      </w:r>
      <w:r>
        <w:rPr>
          <w:spacing w:val="-14"/>
        </w:rPr>
        <w:t> </w:t>
      </w:r>
      <w:r>
        <w:rPr/>
        <w:t>(2023)</w:t>
      </w:r>
      <w:r>
        <w:rPr>
          <w:spacing w:val="-13"/>
        </w:rPr>
        <w:t> </w:t>
      </w:r>
      <w:r>
        <w:rPr/>
        <w:t>hicieron</w:t>
      </w:r>
      <w:r>
        <w:rPr>
          <w:spacing w:val="-13"/>
        </w:rPr>
        <w:t> </w:t>
      </w:r>
      <w:r>
        <w:rPr/>
        <w:t>un</w:t>
      </w:r>
      <w:r>
        <w:rPr>
          <w:spacing w:val="-11"/>
        </w:rPr>
        <w:t> </w:t>
      </w:r>
      <w:r>
        <w:rPr/>
        <w:t>análisis</w:t>
      </w:r>
      <w:r>
        <w:rPr>
          <w:spacing w:val="-13"/>
        </w:rPr>
        <w:t> </w:t>
      </w:r>
      <w:r>
        <w:rPr/>
        <w:t>bajo</w:t>
      </w:r>
      <w:r>
        <w:rPr>
          <w:spacing w:val="-14"/>
        </w:rPr>
        <w:t> </w:t>
      </w:r>
      <w:r>
        <w:rPr/>
        <w:t>el</w:t>
      </w:r>
      <w:r>
        <w:rPr>
          <w:spacing w:val="-13"/>
        </w:rPr>
        <w:t> </w:t>
      </w:r>
      <w:r>
        <w:rPr/>
        <w:t>título</w:t>
      </w:r>
      <w:r>
        <w:rPr>
          <w:spacing w:val="-14"/>
        </w:rPr>
        <w:t> </w:t>
      </w:r>
      <w:r>
        <w:rPr/>
        <w:t>"Evaluación</w:t>
      </w:r>
      <w:r>
        <w:rPr>
          <w:spacing w:val="-14"/>
        </w:rPr>
        <w:t> </w:t>
      </w:r>
      <w:r>
        <w:rPr/>
        <w:t>financiera y polarización política en épocas de crisis". La polarización se ha transformado en un fenómeno político clave en el contexto actual. Varias investigaciones muestran que</w:t>
      </w:r>
      <w:r>
        <w:rPr>
          <w:spacing w:val="-14"/>
        </w:rPr>
        <w:t> </w:t>
      </w:r>
      <w:r>
        <w:rPr/>
        <w:t>el</w:t>
      </w:r>
      <w:r>
        <w:rPr>
          <w:spacing w:val="-15"/>
        </w:rPr>
        <w:t> </w:t>
      </w:r>
      <w:r>
        <w:rPr/>
        <w:t>aumento</w:t>
      </w:r>
      <w:r>
        <w:rPr>
          <w:spacing w:val="-14"/>
        </w:rPr>
        <w:t> </w:t>
      </w:r>
      <w:r>
        <w:rPr/>
        <w:t>de</w:t>
      </w:r>
      <w:r>
        <w:rPr>
          <w:spacing w:val="-12"/>
        </w:rPr>
        <w:t> </w:t>
      </w:r>
      <w:r>
        <w:rPr/>
        <w:t>la</w:t>
      </w:r>
      <w:r>
        <w:rPr>
          <w:spacing w:val="-13"/>
        </w:rPr>
        <w:t> </w:t>
      </w:r>
      <w:r>
        <w:rPr/>
        <w:t>polarización</w:t>
      </w:r>
      <w:r>
        <w:rPr>
          <w:spacing w:val="-14"/>
        </w:rPr>
        <w:t> </w:t>
      </w:r>
      <w:r>
        <w:rPr/>
        <w:t>suele</w:t>
      </w:r>
      <w:r>
        <w:rPr>
          <w:spacing w:val="-14"/>
        </w:rPr>
        <w:t> </w:t>
      </w:r>
      <w:r>
        <w:rPr/>
        <w:t>aparecer</w:t>
      </w:r>
      <w:r>
        <w:rPr>
          <w:spacing w:val="-13"/>
        </w:rPr>
        <w:t> </w:t>
      </w:r>
      <w:r>
        <w:rPr/>
        <w:t>después</w:t>
      </w:r>
      <w:r>
        <w:rPr>
          <w:spacing w:val="-13"/>
        </w:rPr>
        <w:t> </w:t>
      </w:r>
      <w:r>
        <w:rPr/>
        <w:t>de</w:t>
      </w:r>
      <w:r>
        <w:rPr>
          <w:spacing w:val="-14"/>
        </w:rPr>
        <w:t> </w:t>
      </w:r>
      <w:r>
        <w:rPr/>
        <w:t>crisis</w:t>
      </w:r>
      <w:r>
        <w:rPr>
          <w:spacing w:val="-13"/>
        </w:rPr>
        <w:t> </w:t>
      </w:r>
      <w:r>
        <w:rPr/>
        <w:t>económicas.</w:t>
      </w:r>
      <w:r>
        <w:rPr>
          <w:spacing w:val="-13"/>
        </w:rPr>
        <w:t> </w:t>
      </w:r>
      <w:r>
        <w:rPr/>
        <w:t>Este estudio analiza cómo se relacionan la fragmentación política</w:t>
      </w:r>
      <w:r>
        <w:rPr>
          <w:spacing w:val="-1"/>
        </w:rPr>
        <w:t> </w:t>
      </w:r>
      <w:r>
        <w:rPr/>
        <w:t>y la</w:t>
      </w:r>
      <w:r>
        <w:rPr>
          <w:spacing w:val="-1"/>
        </w:rPr>
        <w:t> </w:t>
      </w:r>
      <w:r>
        <w:rPr/>
        <w:t>interpretación de la coyuntura económica tanto personal como nacional en España. Los hallazgos indican que, al juzgar aspectos específicos, como la economía del hogar, las opiniones de los ciudadanos dependen de su nivel de ingresos, una variable económica. No obstante, cuando se trata de evaluar la economía del país en términos más generales, la ideología política de los ciudadanos tiene mayor peso. Esto</w:t>
      </w:r>
      <w:r>
        <w:rPr>
          <w:spacing w:val="-11"/>
        </w:rPr>
        <w:t> </w:t>
      </w:r>
      <w:r>
        <w:rPr/>
        <w:t>sugiere</w:t>
      </w:r>
      <w:r>
        <w:rPr>
          <w:spacing w:val="-11"/>
        </w:rPr>
        <w:t> </w:t>
      </w:r>
      <w:r>
        <w:rPr/>
        <w:t>que</w:t>
      </w:r>
      <w:r>
        <w:rPr>
          <w:spacing w:val="-12"/>
        </w:rPr>
        <w:t> </w:t>
      </w:r>
      <w:r>
        <w:rPr/>
        <w:t>en</w:t>
      </w:r>
      <w:r>
        <w:rPr>
          <w:spacing w:val="-8"/>
        </w:rPr>
        <w:t> </w:t>
      </w:r>
      <w:r>
        <w:rPr/>
        <w:t>España</w:t>
      </w:r>
      <w:r>
        <w:rPr>
          <w:spacing w:val="-12"/>
        </w:rPr>
        <w:t> </w:t>
      </w:r>
      <w:r>
        <w:rPr/>
        <w:t>se</w:t>
      </w:r>
      <w:r>
        <w:rPr>
          <w:spacing w:val="-9"/>
        </w:rPr>
        <w:t> </w:t>
      </w:r>
      <w:r>
        <w:rPr/>
        <w:t>tiende</w:t>
      </w:r>
      <w:r>
        <w:rPr>
          <w:spacing w:val="-11"/>
        </w:rPr>
        <w:t> </w:t>
      </w:r>
      <w:r>
        <w:rPr/>
        <w:t>a</w:t>
      </w:r>
      <w:r>
        <w:rPr>
          <w:spacing w:val="-12"/>
        </w:rPr>
        <w:t> </w:t>
      </w:r>
      <w:r>
        <w:rPr/>
        <w:t>un</w:t>
      </w:r>
      <w:r>
        <w:rPr>
          <w:spacing w:val="-10"/>
        </w:rPr>
        <w:t> </w:t>
      </w:r>
      <w:r>
        <w:rPr/>
        <w:t>enfoque</w:t>
      </w:r>
      <w:r>
        <w:rPr>
          <w:spacing w:val="-10"/>
        </w:rPr>
        <w:t> </w:t>
      </w:r>
      <w:r>
        <w:rPr/>
        <w:t>ideológico</w:t>
      </w:r>
      <w:r>
        <w:rPr>
          <w:spacing w:val="-12"/>
        </w:rPr>
        <w:t> </w:t>
      </w:r>
      <w:r>
        <w:rPr/>
        <w:t>sobre</w:t>
      </w:r>
      <w:r>
        <w:rPr>
          <w:spacing w:val="-12"/>
        </w:rPr>
        <w:t> </w:t>
      </w:r>
      <w:r>
        <w:rPr/>
        <w:t>uno</w:t>
      </w:r>
      <w:r>
        <w:rPr>
          <w:spacing w:val="-11"/>
        </w:rPr>
        <w:t> </w:t>
      </w:r>
      <w:r>
        <w:rPr/>
        <w:t>meramente económico,</w:t>
      </w:r>
      <w:r>
        <w:rPr>
          <w:spacing w:val="-12"/>
        </w:rPr>
        <w:t> </w:t>
      </w:r>
      <w:r>
        <w:rPr/>
        <w:t>lo</w:t>
      </w:r>
      <w:r>
        <w:rPr>
          <w:spacing w:val="-13"/>
        </w:rPr>
        <w:t> </w:t>
      </w:r>
      <w:r>
        <w:rPr/>
        <w:t>cual</w:t>
      </w:r>
      <w:r>
        <w:rPr>
          <w:spacing w:val="-13"/>
        </w:rPr>
        <w:t> </w:t>
      </w:r>
      <w:r>
        <w:rPr/>
        <w:t>incrementa</w:t>
      </w:r>
      <w:r>
        <w:rPr>
          <w:spacing w:val="-14"/>
        </w:rPr>
        <w:t> </w:t>
      </w:r>
      <w:r>
        <w:rPr/>
        <w:t>la</w:t>
      </w:r>
      <w:r>
        <w:rPr>
          <w:spacing w:val="-14"/>
        </w:rPr>
        <w:t> </w:t>
      </w:r>
      <w:r>
        <w:rPr/>
        <w:t>vulnerabilidad</w:t>
      </w:r>
      <w:r>
        <w:rPr>
          <w:spacing w:val="-12"/>
        </w:rPr>
        <w:t> </w:t>
      </w:r>
      <w:r>
        <w:rPr/>
        <w:t>a</w:t>
      </w:r>
      <w:r>
        <w:rPr>
          <w:spacing w:val="-12"/>
        </w:rPr>
        <w:t> </w:t>
      </w:r>
      <w:r>
        <w:rPr/>
        <w:t>la</w:t>
      </w:r>
      <w:r>
        <w:rPr>
          <w:spacing w:val="-15"/>
        </w:rPr>
        <w:t> </w:t>
      </w:r>
      <w:r>
        <w:rPr/>
        <w:t>polarización</w:t>
      </w:r>
      <w:r>
        <w:rPr>
          <w:spacing w:val="-14"/>
        </w:rPr>
        <w:t> </w:t>
      </w:r>
      <w:r>
        <w:rPr/>
        <w:t>impulsada</w:t>
      </w:r>
      <w:r>
        <w:rPr>
          <w:spacing w:val="-14"/>
        </w:rPr>
        <w:t> </w:t>
      </w:r>
      <w:r>
        <w:rPr/>
        <w:t>por</w:t>
      </w:r>
      <w:r>
        <w:rPr>
          <w:spacing w:val="-11"/>
        </w:rPr>
        <w:t> </w:t>
      </w:r>
      <w:r>
        <w:rPr/>
        <w:t>los discursos de las élites y los canales de información.</w:t>
      </w:r>
    </w:p>
    <w:p>
      <w:pPr>
        <w:pStyle w:val="BodyText"/>
        <w:spacing w:line="480" w:lineRule="auto" w:before="1"/>
        <w:ind w:left="995" w:right="990" w:firstLine="720"/>
        <w:jc w:val="both"/>
      </w:pPr>
      <w:r>
        <w:rPr/>
        <w:t>Meza</w:t>
      </w:r>
      <w:r>
        <w:rPr>
          <w:spacing w:val="-6"/>
        </w:rPr>
        <w:t> </w:t>
      </w:r>
      <w:r>
        <w:rPr/>
        <w:t>(2023)</w:t>
      </w:r>
      <w:r>
        <w:rPr>
          <w:spacing w:val="-3"/>
        </w:rPr>
        <w:t> </w:t>
      </w:r>
      <w:r>
        <w:rPr/>
        <w:t>llevó</w:t>
      </w:r>
      <w:r>
        <w:rPr>
          <w:spacing w:val="-4"/>
        </w:rPr>
        <w:t> </w:t>
      </w:r>
      <w:r>
        <w:rPr/>
        <w:t>a</w:t>
      </w:r>
      <w:r>
        <w:rPr>
          <w:spacing w:val="-3"/>
        </w:rPr>
        <w:t> </w:t>
      </w:r>
      <w:r>
        <w:rPr/>
        <w:t>cabo</w:t>
      </w:r>
      <w:r>
        <w:rPr>
          <w:spacing w:val="-6"/>
        </w:rPr>
        <w:t> </w:t>
      </w:r>
      <w:r>
        <w:rPr/>
        <w:t>un</w:t>
      </w:r>
      <w:r>
        <w:rPr>
          <w:spacing w:val="-3"/>
        </w:rPr>
        <w:t> </w:t>
      </w:r>
      <w:r>
        <w:rPr/>
        <w:t>análisis</w:t>
      </w:r>
      <w:r>
        <w:rPr>
          <w:spacing w:val="-5"/>
        </w:rPr>
        <w:t> </w:t>
      </w:r>
      <w:r>
        <w:rPr/>
        <w:t>"Evasión</w:t>
      </w:r>
      <w:r>
        <w:rPr>
          <w:spacing w:val="-6"/>
        </w:rPr>
        <w:t> </w:t>
      </w:r>
      <w:r>
        <w:rPr/>
        <w:t>fiscal</w:t>
      </w:r>
      <w:r>
        <w:rPr>
          <w:spacing w:val="-6"/>
        </w:rPr>
        <w:t> </w:t>
      </w:r>
      <w:r>
        <w:rPr/>
        <w:t>y</w:t>
      </w:r>
      <w:r>
        <w:rPr>
          <w:spacing w:val="-4"/>
        </w:rPr>
        <w:t> </w:t>
      </w:r>
      <w:r>
        <w:rPr/>
        <w:t>la</w:t>
      </w:r>
      <w:r>
        <w:rPr>
          <w:spacing w:val="-5"/>
        </w:rPr>
        <w:t> </w:t>
      </w:r>
      <w:r>
        <w:rPr/>
        <w:t>administración</w:t>
      </w:r>
      <w:r>
        <w:rPr>
          <w:spacing w:val="-4"/>
        </w:rPr>
        <w:t> </w:t>
      </w:r>
      <w:r>
        <w:rPr/>
        <w:t>de recaudación tributaria del Mercado Pomarrosa de la ciudad de Juanjuí, 2023" El estudio tuvo como meta primordial identificar la conexión de la evasión de impuestos y la administración de la recaudación fiscal en el mercado analizado en el año 2023. Se empleó tal diseño básico, cuantitativo y sin experimentación, con un</w:t>
      </w:r>
      <w:r>
        <w:rPr>
          <w:spacing w:val="-6"/>
        </w:rPr>
        <w:t> </w:t>
      </w:r>
      <w:r>
        <w:rPr/>
        <w:t>enfoque</w:t>
      </w:r>
      <w:r>
        <w:rPr>
          <w:spacing w:val="-7"/>
        </w:rPr>
        <w:t> </w:t>
      </w:r>
      <w:r>
        <w:rPr/>
        <w:t>transversal</w:t>
      </w:r>
      <w:r>
        <w:rPr>
          <w:spacing w:val="-7"/>
        </w:rPr>
        <w:t> </w:t>
      </w:r>
      <w:r>
        <w:rPr/>
        <w:t>y</w:t>
      </w:r>
      <w:r>
        <w:rPr>
          <w:spacing w:val="-6"/>
        </w:rPr>
        <w:t> </w:t>
      </w:r>
      <w:r>
        <w:rPr/>
        <w:t>correlacional</w:t>
      </w:r>
      <w:r>
        <w:rPr>
          <w:spacing w:val="-6"/>
        </w:rPr>
        <w:t> </w:t>
      </w:r>
      <w:r>
        <w:rPr/>
        <w:t>de</w:t>
      </w:r>
      <w:r>
        <w:rPr>
          <w:spacing w:val="-4"/>
        </w:rPr>
        <w:t> </w:t>
      </w:r>
      <w:r>
        <w:rPr/>
        <w:t>tipo</w:t>
      </w:r>
      <w:r>
        <w:rPr>
          <w:spacing w:val="-6"/>
        </w:rPr>
        <w:t> </w:t>
      </w:r>
      <w:r>
        <w:rPr/>
        <w:t>hipotético-inductivo.</w:t>
      </w:r>
      <w:r>
        <w:rPr>
          <w:spacing w:val="-6"/>
        </w:rPr>
        <w:t> </w:t>
      </w:r>
      <w:r>
        <w:rPr/>
        <w:t>La</w:t>
      </w:r>
      <w:r>
        <w:rPr>
          <w:spacing w:val="-7"/>
        </w:rPr>
        <w:t> </w:t>
      </w:r>
      <w:r>
        <w:rPr/>
        <w:t>población</w:t>
      </w:r>
      <w:r>
        <w:rPr>
          <w:spacing w:val="-4"/>
        </w:rPr>
        <w:t> </w:t>
      </w:r>
      <w:r>
        <w:rPr/>
        <w:t>y la muestra del estudio incluyeron a 40 comerciantes. Para recolectar los datos, se aplicaron</w:t>
      </w:r>
      <w:r>
        <w:rPr>
          <w:spacing w:val="1"/>
        </w:rPr>
        <w:t> </w:t>
      </w:r>
      <w:r>
        <w:rPr/>
        <w:t>encuestas</w:t>
      </w:r>
      <w:r>
        <w:rPr>
          <w:spacing w:val="4"/>
        </w:rPr>
        <w:t> </w:t>
      </w:r>
      <w:r>
        <w:rPr/>
        <w:t>y</w:t>
      </w:r>
      <w:r>
        <w:rPr>
          <w:spacing w:val="2"/>
        </w:rPr>
        <w:t> </w:t>
      </w:r>
      <w:r>
        <w:rPr/>
        <w:t>se</w:t>
      </w:r>
      <w:r>
        <w:rPr>
          <w:spacing w:val="1"/>
        </w:rPr>
        <w:t> </w:t>
      </w:r>
      <w:r>
        <w:rPr/>
        <w:t>realizó</w:t>
      </w:r>
      <w:r>
        <w:rPr>
          <w:spacing w:val="1"/>
        </w:rPr>
        <w:t> </w:t>
      </w:r>
      <w:r>
        <w:rPr/>
        <w:t>un</w:t>
      </w:r>
      <w:r>
        <w:rPr>
          <w:spacing w:val="2"/>
        </w:rPr>
        <w:t> </w:t>
      </w:r>
      <w:r>
        <w:rPr/>
        <w:t>análisis</w:t>
      </w:r>
      <w:r>
        <w:rPr>
          <w:spacing w:val="1"/>
        </w:rPr>
        <w:t> </w:t>
      </w:r>
      <w:r>
        <w:rPr/>
        <w:t>documental,</w:t>
      </w:r>
      <w:r>
        <w:rPr>
          <w:spacing w:val="2"/>
        </w:rPr>
        <w:t> </w:t>
      </w:r>
      <w:r>
        <w:rPr/>
        <w:t>utilizando</w:t>
      </w:r>
      <w:r>
        <w:rPr>
          <w:spacing w:val="1"/>
        </w:rPr>
        <w:t> </w:t>
      </w:r>
      <w:r>
        <w:rPr/>
        <w:t>un</w:t>
      </w:r>
      <w:r>
        <w:rPr>
          <w:spacing w:val="2"/>
        </w:rPr>
        <w:t> </w:t>
      </w:r>
      <w:r>
        <w:rPr>
          <w:spacing w:val="-2"/>
        </w:rPr>
        <w:t>cuestionario</w:t>
      </w:r>
    </w:p>
    <w:p>
      <w:pPr>
        <w:pStyle w:val="BodyText"/>
        <w:spacing w:after="0" w:line="480" w:lineRule="auto"/>
        <w:jc w:val="both"/>
        <w:sectPr>
          <w:pgSz w:w="11910" w:h="16840"/>
          <w:pgMar w:header="1430" w:footer="693" w:top="1740" w:bottom="880" w:left="1559" w:right="425"/>
        </w:sectPr>
      </w:pPr>
    </w:p>
    <w:p>
      <w:pPr>
        <w:pStyle w:val="BodyText"/>
        <w:spacing w:line="480" w:lineRule="auto" w:before="66"/>
        <w:ind w:left="995" w:right="989"/>
        <w:jc w:val="both"/>
      </w:pPr>
      <w:r>
        <w:rPr/>
        <w:t>y</w:t>
      </w:r>
      <w:r>
        <w:rPr>
          <w:spacing w:val="-2"/>
        </w:rPr>
        <w:t> </w:t>
      </w:r>
      <w:r>
        <w:rPr/>
        <w:t>una</w:t>
      </w:r>
      <w:r>
        <w:rPr>
          <w:spacing w:val="-2"/>
        </w:rPr>
        <w:t> </w:t>
      </w:r>
      <w:r>
        <w:rPr/>
        <w:t>ficha</w:t>
      </w:r>
      <w:r>
        <w:rPr>
          <w:spacing w:val="-2"/>
        </w:rPr>
        <w:t> </w:t>
      </w:r>
      <w:r>
        <w:rPr/>
        <w:t>de</w:t>
      </w:r>
      <w:r>
        <w:rPr>
          <w:spacing w:val="-2"/>
        </w:rPr>
        <w:t> </w:t>
      </w:r>
      <w:r>
        <w:rPr/>
        <w:t>análisis</w:t>
      </w:r>
      <w:r>
        <w:rPr>
          <w:spacing w:val="-1"/>
        </w:rPr>
        <w:t> </w:t>
      </w:r>
      <w:r>
        <w:rPr/>
        <w:t>documental</w:t>
      </w:r>
      <w:r>
        <w:rPr>
          <w:spacing w:val="-3"/>
        </w:rPr>
        <w:t> </w:t>
      </w:r>
      <w:r>
        <w:rPr/>
        <w:t>como</w:t>
      </w:r>
      <w:r>
        <w:rPr>
          <w:spacing w:val="-2"/>
        </w:rPr>
        <w:t> </w:t>
      </w:r>
      <w:r>
        <w:rPr/>
        <w:t>instrumentos.</w:t>
      </w:r>
      <w:r>
        <w:rPr>
          <w:spacing w:val="-1"/>
        </w:rPr>
        <w:t> </w:t>
      </w:r>
      <w:r>
        <w:rPr/>
        <w:t>Los</w:t>
      </w:r>
      <w:r>
        <w:rPr>
          <w:spacing w:val="-2"/>
        </w:rPr>
        <w:t> </w:t>
      </w:r>
      <w:r>
        <w:rPr/>
        <w:t>hallazgos</w:t>
      </w:r>
      <w:r>
        <w:rPr>
          <w:spacing w:val="-2"/>
        </w:rPr>
        <w:t> </w:t>
      </w:r>
      <w:r>
        <w:rPr/>
        <w:t>revelaron</w:t>
      </w:r>
      <w:r>
        <w:rPr>
          <w:spacing w:val="-2"/>
        </w:rPr>
        <w:t> </w:t>
      </w:r>
      <w:r>
        <w:rPr/>
        <w:t>un alto nivel de evasión tributaria del 77.5%, además de un nivel elevado en la administración de la recaudación tributaria en contraste, el 22.5% de los casos presentaron</w:t>
      </w:r>
      <w:r>
        <w:rPr>
          <w:spacing w:val="-15"/>
        </w:rPr>
        <w:t> </w:t>
      </w:r>
      <w:r>
        <w:rPr/>
        <w:t>niveles</w:t>
      </w:r>
      <w:r>
        <w:rPr>
          <w:spacing w:val="-15"/>
        </w:rPr>
        <w:t> </w:t>
      </w:r>
      <w:r>
        <w:rPr/>
        <w:t>bajos</w:t>
      </w:r>
      <w:r>
        <w:rPr>
          <w:spacing w:val="-14"/>
        </w:rPr>
        <w:t> </w:t>
      </w:r>
      <w:r>
        <w:rPr/>
        <w:t>en</w:t>
      </w:r>
      <w:r>
        <w:rPr>
          <w:spacing w:val="-15"/>
        </w:rPr>
        <w:t> </w:t>
      </w:r>
      <w:r>
        <w:rPr/>
        <w:t>ambas</w:t>
      </w:r>
      <w:r>
        <w:rPr>
          <w:spacing w:val="-14"/>
        </w:rPr>
        <w:t> </w:t>
      </w:r>
      <w:r>
        <w:rPr/>
        <w:t>variables.</w:t>
      </w:r>
      <w:r>
        <w:rPr>
          <w:spacing w:val="-14"/>
        </w:rPr>
        <w:t> </w:t>
      </w:r>
      <w:r>
        <w:rPr/>
        <w:t>La</w:t>
      </w:r>
      <w:r>
        <w:rPr>
          <w:spacing w:val="-15"/>
        </w:rPr>
        <w:t> </w:t>
      </w:r>
      <w:r>
        <w:rPr/>
        <w:t>correlación</w:t>
      </w:r>
      <w:r>
        <w:rPr>
          <w:spacing w:val="-15"/>
        </w:rPr>
        <w:t> </w:t>
      </w:r>
      <w:r>
        <w:rPr/>
        <w:t>se</w:t>
      </w:r>
      <w:r>
        <w:rPr>
          <w:spacing w:val="-12"/>
        </w:rPr>
        <w:t> </w:t>
      </w:r>
      <w:r>
        <w:rPr/>
        <w:t>estableció</w:t>
      </w:r>
      <w:r>
        <w:rPr>
          <w:spacing w:val="-15"/>
        </w:rPr>
        <w:t> </w:t>
      </w:r>
      <w:r>
        <w:rPr/>
        <w:t>mediante el coeficiente Rho de Spearman, que obtuvo un valor de 0.872** con p&lt;0.05, lo que permitió aceptar la hipótesis alterna y desechar la nula Se concluyó que es esencial fortalecer la gestión fiscal para lograr un servicio efectivo, no solo mediante el servicio del contribuyente, sino también a través de campañas educativas</w:t>
      </w:r>
      <w:r>
        <w:rPr>
          <w:spacing w:val="-5"/>
        </w:rPr>
        <w:t> </w:t>
      </w:r>
      <w:r>
        <w:rPr/>
        <w:t>y</w:t>
      </w:r>
      <w:r>
        <w:rPr>
          <w:spacing w:val="-5"/>
        </w:rPr>
        <w:t> </w:t>
      </w:r>
      <w:r>
        <w:rPr/>
        <w:t>de</w:t>
      </w:r>
      <w:r>
        <w:rPr>
          <w:spacing w:val="-5"/>
        </w:rPr>
        <w:t> </w:t>
      </w:r>
      <w:r>
        <w:rPr/>
        <w:t>capacitación</w:t>
      </w:r>
      <w:r>
        <w:rPr>
          <w:spacing w:val="-5"/>
        </w:rPr>
        <w:t> </w:t>
      </w:r>
      <w:r>
        <w:rPr/>
        <w:t>sobre</w:t>
      </w:r>
      <w:r>
        <w:rPr>
          <w:spacing w:val="-5"/>
        </w:rPr>
        <w:t> </w:t>
      </w:r>
      <w:r>
        <w:rPr/>
        <w:t>la</w:t>
      </w:r>
      <w:r>
        <w:rPr>
          <w:spacing w:val="-5"/>
        </w:rPr>
        <w:t> </w:t>
      </w:r>
      <w:r>
        <w:rPr/>
        <w:t>formalización,</w:t>
      </w:r>
      <w:r>
        <w:rPr>
          <w:spacing w:val="-5"/>
        </w:rPr>
        <w:t> </w:t>
      </w:r>
      <w:r>
        <w:rPr/>
        <w:t>incluyendo</w:t>
      </w:r>
      <w:r>
        <w:rPr>
          <w:spacing w:val="-5"/>
        </w:rPr>
        <w:t> </w:t>
      </w:r>
      <w:r>
        <w:rPr/>
        <w:t>información</w:t>
      </w:r>
      <w:r>
        <w:rPr>
          <w:spacing w:val="-5"/>
        </w:rPr>
        <w:t> </w:t>
      </w:r>
      <w:r>
        <w:rPr/>
        <w:t>sobre pagos relacionados, como impuestos, sanciones y su vínculo con las Unidades Impositivas Tributarias.</w:t>
      </w:r>
    </w:p>
    <w:p>
      <w:pPr>
        <w:pStyle w:val="BodyText"/>
        <w:spacing w:line="480" w:lineRule="auto" w:before="2"/>
        <w:ind w:left="995" w:right="990" w:firstLine="720"/>
        <w:jc w:val="both"/>
      </w:pPr>
      <w:r>
        <w:rPr/>
        <w:t>Ulloa</w:t>
      </w:r>
      <w:r>
        <w:rPr>
          <w:spacing w:val="-3"/>
        </w:rPr>
        <w:t> </w:t>
      </w:r>
      <w:r>
        <w:rPr/>
        <w:t>y</w:t>
      </w:r>
      <w:r>
        <w:rPr>
          <w:spacing w:val="-3"/>
        </w:rPr>
        <w:t> </w:t>
      </w:r>
      <w:r>
        <w:rPr/>
        <w:t>Díaz</w:t>
      </w:r>
      <w:r>
        <w:rPr>
          <w:spacing w:val="-3"/>
        </w:rPr>
        <w:t> </w:t>
      </w:r>
      <w:r>
        <w:rPr/>
        <w:t>(2021)</w:t>
      </w:r>
      <w:r>
        <w:rPr>
          <w:spacing w:val="-2"/>
        </w:rPr>
        <w:t> </w:t>
      </w:r>
      <w:r>
        <w:rPr/>
        <w:t>examinan</w:t>
      </w:r>
      <w:r>
        <w:rPr>
          <w:spacing w:val="-2"/>
        </w:rPr>
        <w:t> </w:t>
      </w:r>
      <w:r>
        <w:rPr/>
        <w:t>la</w:t>
      </w:r>
      <w:r>
        <w:rPr>
          <w:spacing w:val="-2"/>
        </w:rPr>
        <w:t> </w:t>
      </w:r>
      <w:r>
        <w:rPr/>
        <w:t>“Impacto</w:t>
      </w:r>
      <w:r>
        <w:rPr>
          <w:spacing w:val="-3"/>
        </w:rPr>
        <w:t> </w:t>
      </w:r>
      <w:r>
        <w:rPr/>
        <w:t>del</w:t>
      </w:r>
      <w:r>
        <w:rPr>
          <w:spacing w:val="-5"/>
        </w:rPr>
        <w:t> </w:t>
      </w:r>
      <w:r>
        <w:rPr/>
        <w:t>abono</w:t>
      </w:r>
      <w:r>
        <w:rPr>
          <w:spacing w:val="-3"/>
        </w:rPr>
        <w:t> </w:t>
      </w:r>
      <w:r>
        <w:rPr/>
        <w:t>del</w:t>
      </w:r>
      <w:r>
        <w:rPr>
          <w:spacing w:val="-3"/>
        </w:rPr>
        <w:t> </w:t>
      </w:r>
      <w:r>
        <w:rPr/>
        <w:t>impuesto</w:t>
      </w:r>
      <w:r>
        <w:rPr>
          <w:spacing w:val="-3"/>
        </w:rPr>
        <w:t> </w:t>
      </w:r>
      <w:r>
        <w:rPr/>
        <w:t>sobre</w:t>
      </w:r>
      <w:r>
        <w:rPr>
          <w:spacing w:val="-3"/>
        </w:rPr>
        <w:t> </w:t>
      </w:r>
      <w:r>
        <w:rPr/>
        <w:t>la renta</w:t>
      </w:r>
      <w:r>
        <w:rPr>
          <w:spacing w:val="-10"/>
        </w:rPr>
        <w:t> </w:t>
      </w:r>
      <w:r>
        <w:rPr/>
        <w:t>en</w:t>
      </w:r>
      <w:r>
        <w:rPr>
          <w:spacing w:val="-10"/>
        </w:rPr>
        <w:t> </w:t>
      </w:r>
      <w:r>
        <w:rPr/>
        <w:t>la</w:t>
      </w:r>
      <w:r>
        <w:rPr>
          <w:spacing w:val="-11"/>
        </w:rPr>
        <w:t> </w:t>
      </w:r>
      <w:r>
        <w:rPr/>
        <w:t>solvencia</w:t>
      </w:r>
      <w:r>
        <w:rPr>
          <w:spacing w:val="-9"/>
        </w:rPr>
        <w:t> </w:t>
      </w:r>
      <w:r>
        <w:rPr/>
        <w:t>de</w:t>
      </w:r>
      <w:r>
        <w:rPr>
          <w:spacing w:val="-10"/>
        </w:rPr>
        <w:t> </w:t>
      </w:r>
      <w:r>
        <w:rPr/>
        <w:t>las</w:t>
      </w:r>
      <w:r>
        <w:rPr>
          <w:spacing w:val="-9"/>
        </w:rPr>
        <w:t> </w:t>
      </w:r>
      <w:r>
        <w:rPr/>
        <w:t>pequeñas</w:t>
      </w:r>
      <w:r>
        <w:rPr>
          <w:spacing w:val="-9"/>
        </w:rPr>
        <w:t> </w:t>
      </w:r>
      <w:r>
        <w:rPr/>
        <w:t>y</w:t>
      </w:r>
      <w:r>
        <w:rPr>
          <w:spacing w:val="-9"/>
        </w:rPr>
        <w:t> </w:t>
      </w:r>
      <w:r>
        <w:rPr/>
        <w:t>medianas</w:t>
      </w:r>
      <w:r>
        <w:rPr>
          <w:spacing w:val="-9"/>
        </w:rPr>
        <w:t> </w:t>
      </w:r>
      <w:r>
        <w:rPr/>
        <w:t>empresas</w:t>
      </w:r>
      <w:r>
        <w:rPr>
          <w:spacing w:val="-9"/>
        </w:rPr>
        <w:t> </w:t>
      </w:r>
      <w:r>
        <w:rPr/>
        <w:t>(PYMES)</w:t>
      </w:r>
      <w:r>
        <w:rPr>
          <w:spacing w:val="-9"/>
        </w:rPr>
        <w:t> </w:t>
      </w:r>
      <w:r>
        <w:rPr/>
        <w:t>del</w:t>
      </w:r>
      <w:r>
        <w:rPr>
          <w:spacing w:val="-11"/>
        </w:rPr>
        <w:t> </w:t>
      </w:r>
      <w:r>
        <w:rPr/>
        <w:t>cantón</w:t>
      </w:r>
      <w:r>
        <w:rPr>
          <w:spacing w:val="-9"/>
        </w:rPr>
        <w:t> </w:t>
      </w:r>
      <w:r>
        <w:rPr/>
        <w:t>La Maná”.</w:t>
      </w:r>
      <w:r>
        <w:rPr>
          <w:spacing w:val="-5"/>
        </w:rPr>
        <w:t> </w:t>
      </w:r>
      <w:r>
        <w:rPr/>
        <w:t>Este</w:t>
      </w:r>
      <w:r>
        <w:rPr>
          <w:spacing w:val="-5"/>
        </w:rPr>
        <w:t> </w:t>
      </w:r>
      <w:r>
        <w:rPr/>
        <w:t>estudio</w:t>
      </w:r>
      <w:r>
        <w:rPr>
          <w:spacing w:val="-4"/>
        </w:rPr>
        <w:t> </w:t>
      </w:r>
      <w:r>
        <w:rPr/>
        <w:t>examina</w:t>
      </w:r>
      <w:r>
        <w:rPr>
          <w:spacing w:val="-5"/>
        </w:rPr>
        <w:t> </w:t>
      </w:r>
      <w:r>
        <w:rPr/>
        <w:t>los</w:t>
      </w:r>
      <w:r>
        <w:rPr>
          <w:spacing w:val="-5"/>
        </w:rPr>
        <w:t> </w:t>
      </w:r>
      <w:r>
        <w:rPr/>
        <w:t>aspectos</w:t>
      </w:r>
      <w:r>
        <w:rPr>
          <w:spacing w:val="-5"/>
        </w:rPr>
        <w:t> </w:t>
      </w:r>
      <w:r>
        <w:rPr/>
        <w:t>generales</w:t>
      </w:r>
      <w:r>
        <w:rPr>
          <w:spacing w:val="-5"/>
        </w:rPr>
        <w:t> </w:t>
      </w:r>
      <w:r>
        <w:rPr/>
        <w:t>de</w:t>
      </w:r>
      <w:r>
        <w:rPr>
          <w:spacing w:val="-5"/>
        </w:rPr>
        <w:t> </w:t>
      </w:r>
      <w:r>
        <w:rPr/>
        <w:t>estas</w:t>
      </w:r>
      <w:r>
        <w:rPr>
          <w:spacing w:val="-5"/>
        </w:rPr>
        <w:t> </w:t>
      </w:r>
      <w:r>
        <w:rPr/>
        <w:t>empresas,</w:t>
      </w:r>
      <w:r>
        <w:rPr>
          <w:spacing w:val="-5"/>
        </w:rPr>
        <w:t> </w:t>
      </w:r>
      <w:r>
        <w:rPr/>
        <w:t>incluyendo temas contables, tributarios y el grado de cumplimiento con la normativa vigente. El objetivo de la investigación fue examinar si hay una relación entre el pago de impuestos y la liquidez de las PYMES. Se llevó a cabo un estudio de tipo exploratorio</w:t>
      </w:r>
      <w:r>
        <w:rPr>
          <w:spacing w:val="-11"/>
        </w:rPr>
        <w:t> </w:t>
      </w:r>
      <w:r>
        <w:rPr/>
        <w:t>y</w:t>
      </w:r>
      <w:r>
        <w:rPr>
          <w:spacing w:val="-9"/>
        </w:rPr>
        <w:t> </w:t>
      </w:r>
      <w:r>
        <w:rPr/>
        <w:t>correlacional</w:t>
      </w:r>
      <w:r>
        <w:rPr>
          <w:spacing w:val="-10"/>
        </w:rPr>
        <w:t> </w:t>
      </w:r>
      <w:r>
        <w:rPr/>
        <w:t>empleando</w:t>
      </w:r>
      <w:r>
        <w:rPr>
          <w:spacing w:val="-10"/>
        </w:rPr>
        <w:t> </w:t>
      </w:r>
      <w:r>
        <w:rPr/>
        <w:t>un</w:t>
      </w:r>
      <w:r>
        <w:rPr>
          <w:spacing w:val="-8"/>
        </w:rPr>
        <w:t> </w:t>
      </w:r>
      <w:r>
        <w:rPr/>
        <w:t>método</w:t>
      </w:r>
      <w:r>
        <w:rPr>
          <w:spacing w:val="-10"/>
        </w:rPr>
        <w:t> </w:t>
      </w:r>
      <w:r>
        <w:rPr/>
        <w:t>inductivo</w:t>
      </w:r>
      <w:r>
        <w:rPr>
          <w:spacing w:val="-10"/>
        </w:rPr>
        <w:t> </w:t>
      </w:r>
      <w:r>
        <w:rPr/>
        <w:t>que</w:t>
      </w:r>
      <w:r>
        <w:rPr>
          <w:spacing w:val="-11"/>
        </w:rPr>
        <w:t> </w:t>
      </w:r>
      <w:r>
        <w:rPr/>
        <w:t>permitió</w:t>
      </w:r>
      <w:r>
        <w:rPr>
          <w:spacing w:val="-11"/>
        </w:rPr>
        <w:t> </w:t>
      </w:r>
      <w:r>
        <w:rPr/>
        <w:t>inferir</w:t>
      </w:r>
      <w:r>
        <w:rPr>
          <w:spacing w:val="-11"/>
        </w:rPr>
        <w:t> </w:t>
      </w:r>
      <w:r>
        <w:rPr/>
        <w:t>el comportamiento general a partir de la muestra seleccionada. La recopilación de información se</w:t>
      </w:r>
      <w:r>
        <w:rPr>
          <w:spacing w:val="-2"/>
        </w:rPr>
        <w:t> </w:t>
      </w:r>
      <w:r>
        <w:rPr/>
        <w:t>llevó a</w:t>
      </w:r>
      <w:r>
        <w:rPr>
          <w:spacing w:val="-2"/>
        </w:rPr>
        <w:t> </w:t>
      </w:r>
      <w:r>
        <w:rPr/>
        <w:t>cabo</w:t>
      </w:r>
      <w:r>
        <w:rPr>
          <w:spacing w:val="-2"/>
        </w:rPr>
        <w:t> </w:t>
      </w:r>
      <w:r>
        <w:rPr/>
        <w:t>a través</w:t>
      </w:r>
      <w:r>
        <w:rPr>
          <w:spacing w:val="-2"/>
        </w:rPr>
        <w:t> </w:t>
      </w:r>
      <w:r>
        <w:rPr/>
        <w:t>de</w:t>
      </w:r>
      <w:r>
        <w:rPr>
          <w:spacing w:val="-2"/>
        </w:rPr>
        <w:t> </w:t>
      </w:r>
      <w:r>
        <w:rPr/>
        <w:t>un cuestionario</w:t>
      </w:r>
      <w:r>
        <w:rPr>
          <w:spacing w:val="-3"/>
        </w:rPr>
        <w:t> </w:t>
      </w:r>
      <w:r>
        <w:rPr/>
        <w:t>con</w:t>
      </w:r>
      <w:r>
        <w:rPr>
          <w:spacing w:val="-2"/>
        </w:rPr>
        <w:t> </w:t>
      </w:r>
      <w:r>
        <w:rPr/>
        <w:t>interrogantes</w:t>
      </w:r>
      <w:r>
        <w:rPr>
          <w:spacing w:val="-2"/>
        </w:rPr>
        <w:t> </w:t>
      </w:r>
      <w:r>
        <w:rPr/>
        <w:t>cerradas, y el análisis de hipótesis se llevó a cabo con el examen no paramétrico de Chi- cuadrado estableciendo un grado de confianza del 95%. Los resultados indicaron que el sector empresarial en La Maná está constituido mayormente por negocios pequeños con pocos empleados y limitada permanencia en el mercado, enfocados en</w:t>
      </w:r>
      <w:r>
        <w:rPr>
          <w:spacing w:val="48"/>
        </w:rPr>
        <w:t> </w:t>
      </w:r>
      <w:r>
        <w:rPr/>
        <w:t>actividades</w:t>
      </w:r>
      <w:r>
        <w:rPr>
          <w:spacing w:val="50"/>
        </w:rPr>
        <w:t> </w:t>
      </w:r>
      <w:r>
        <w:rPr/>
        <w:t>como</w:t>
      </w:r>
      <w:r>
        <w:rPr>
          <w:spacing w:val="49"/>
        </w:rPr>
        <w:t> </w:t>
      </w:r>
      <w:r>
        <w:rPr/>
        <w:t>agricultura,</w:t>
      </w:r>
      <w:r>
        <w:rPr>
          <w:spacing w:val="49"/>
        </w:rPr>
        <w:t> </w:t>
      </w:r>
      <w:r>
        <w:rPr/>
        <w:t>ganadería,</w:t>
      </w:r>
      <w:r>
        <w:rPr>
          <w:spacing w:val="49"/>
        </w:rPr>
        <w:t> </w:t>
      </w:r>
      <w:r>
        <w:rPr/>
        <w:t>silvicultura,</w:t>
      </w:r>
      <w:r>
        <w:rPr>
          <w:spacing w:val="49"/>
        </w:rPr>
        <w:t> </w:t>
      </w:r>
      <w:r>
        <w:rPr/>
        <w:t>pesca</w:t>
      </w:r>
      <w:r>
        <w:rPr>
          <w:spacing w:val="49"/>
        </w:rPr>
        <w:t> </w:t>
      </w:r>
      <w:r>
        <w:rPr/>
        <w:t>y</w:t>
      </w:r>
      <w:r>
        <w:rPr>
          <w:spacing w:val="49"/>
        </w:rPr>
        <w:t> </w:t>
      </w:r>
      <w:r>
        <w:rPr/>
        <w:t>comercio.</w:t>
      </w:r>
      <w:r>
        <w:rPr>
          <w:spacing w:val="51"/>
        </w:rPr>
        <w:t> </w:t>
      </w:r>
      <w:r>
        <w:rPr>
          <w:spacing w:val="-5"/>
        </w:rPr>
        <w:t>La</w:t>
      </w:r>
    </w:p>
    <w:p>
      <w:pPr>
        <w:pStyle w:val="BodyText"/>
        <w:spacing w:after="0" w:line="480" w:lineRule="auto"/>
        <w:jc w:val="both"/>
        <w:sectPr>
          <w:headerReference w:type="default" r:id="rId36"/>
          <w:footerReference w:type="default" r:id="rId37"/>
          <w:pgSz w:w="11910" w:h="16840"/>
          <w:pgMar w:header="0" w:footer="693" w:top="1340" w:bottom="880" w:left="1559" w:right="425"/>
          <w:pgNumType w:start="9"/>
        </w:sectPr>
      </w:pPr>
    </w:p>
    <w:p>
      <w:pPr>
        <w:pStyle w:val="BodyText"/>
        <w:spacing w:line="480" w:lineRule="auto" w:before="66"/>
        <w:ind w:left="995" w:right="992"/>
        <w:jc w:val="both"/>
      </w:pPr>
      <w:r>
        <w:rPr/>
        <w:t>encuesta</w:t>
      </w:r>
      <w:r>
        <w:rPr>
          <w:spacing w:val="-2"/>
        </w:rPr>
        <w:t> </w:t>
      </w:r>
      <w:r>
        <w:rPr/>
        <w:t>mostró</w:t>
      </w:r>
      <w:r>
        <w:rPr>
          <w:spacing w:val="-1"/>
        </w:rPr>
        <w:t> </w:t>
      </w:r>
      <w:r>
        <w:rPr/>
        <w:t>además</w:t>
      </w:r>
      <w:r>
        <w:rPr>
          <w:spacing w:val="-1"/>
        </w:rPr>
        <w:t> </w:t>
      </w:r>
      <w:r>
        <w:rPr/>
        <w:t>un</w:t>
      </w:r>
      <w:r>
        <w:rPr>
          <w:spacing w:val="-1"/>
        </w:rPr>
        <w:t> </w:t>
      </w:r>
      <w:r>
        <w:rPr/>
        <w:t>conocimiento</w:t>
      </w:r>
      <w:r>
        <w:rPr>
          <w:spacing w:val="-1"/>
        </w:rPr>
        <w:t> </w:t>
      </w:r>
      <w:r>
        <w:rPr/>
        <w:t>parcial</w:t>
      </w:r>
      <w:r>
        <w:rPr>
          <w:spacing w:val="-1"/>
        </w:rPr>
        <w:t> </w:t>
      </w:r>
      <w:r>
        <w:rPr/>
        <w:t>de</w:t>
      </w:r>
      <w:r>
        <w:rPr>
          <w:spacing w:val="-1"/>
        </w:rPr>
        <w:t> </w:t>
      </w:r>
      <w:r>
        <w:rPr/>
        <w:t>las normativas</w:t>
      </w:r>
      <w:r>
        <w:rPr>
          <w:spacing w:val="-1"/>
        </w:rPr>
        <w:t> </w:t>
      </w:r>
      <w:r>
        <w:rPr/>
        <w:t>y</w:t>
      </w:r>
      <w:r>
        <w:rPr>
          <w:spacing w:val="-1"/>
        </w:rPr>
        <w:t> </w:t>
      </w:r>
      <w:r>
        <w:rPr/>
        <w:t>obligaciones tributarias, junto con un nivel de cumplimiento moderado, debido a la falta de familiaridad con las leyes. En conclusión, se identificó una relación entre el pago del impuesto sobre la renta y la solvencia, lo que indica que, para las PYMES del cantón</w:t>
      </w:r>
      <w:r>
        <w:rPr>
          <w:spacing w:val="-7"/>
        </w:rPr>
        <w:t> </w:t>
      </w:r>
      <w:r>
        <w:rPr/>
        <w:t>La</w:t>
      </w:r>
      <w:r>
        <w:rPr>
          <w:spacing w:val="-7"/>
        </w:rPr>
        <w:t> </w:t>
      </w:r>
      <w:r>
        <w:rPr/>
        <w:t>Maná,</w:t>
      </w:r>
      <w:r>
        <w:rPr>
          <w:spacing w:val="-5"/>
        </w:rPr>
        <w:t> </w:t>
      </w:r>
      <w:r>
        <w:rPr/>
        <w:t>cumplir</w:t>
      </w:r>
      <w:r>
        <w:rPr>
          <w:spacing w:val="-5"/>
        </w:rPr>
        <w:t> </w:t>
      </w:r>
      <w:r>
        <w:rPr/>
        <w:t>con</w:t>
      </w:r>
      <w:r>
        <w:rPr>
          <w:spacing w:val="-7"/>
        </w:rPr>
        <w:t> </w:t>
      </w:r>
      <w:r>
        <w:rPr/>
        <w:t>esta</w:t>
      </w:r>
      <w:r>
        <w:rPr>
          <w:spacing w:val="-6"/>
        </w:rPr>
        <w:t> </w:t>
      </w:r>
      <w:r>
        <w:rPr/>
        <w:t>obligación</w:t>
      </w:r>
      <w:r>
        <w:rPr>
          <w:spacing w:val="-7"/>
        </w:rPr>
        <w:t> </w:t>
      </w:r>
      <w:r>
        <w:rPr/>
        <w:t>fiscal</w:t>
      </w:r>
      <w:r>
        <w:rPr>
          <w:spacing w:val="-7"/>
        </w:rPr>
        <w:t> </w:t>
      </w:r>
      <w:r>
        <w:rPr/>
        <w:t>impacta</w:t>
      </w:r>
      <w:r>
        <w:rPr>
          <w:spacing w:val="-8"/>
        </w:rPr>
        <w:t> </w:t>
      </w:r>
      <w:r>
        <w:rPr/>
        <w:t>en</w:t>
      </w:r>
      <w:r>
        <w:rPr>
          <w:spacing w:val="-7"/>
        </w:rPr>
        <w:t> </w:t>
      </w:r>
      <w:r>
        <w:rPr/>
        <w:t>la</w:t>
      </w:r>
      <w:r>
        <w:rPr>
          <w:spacing w:val="-8"/>
        </w:rPr>
        <w:t> </w:t>
      </w:r>
      <w:r>
        <w:rPr/>
        <w:t>disponibilidad</w:t>
      </w:r>
      <w:r>
        <w:rPr>
          <w:spacing w:val="-7"/>
        </w:rPr>
        <w:t> </w:t>
      </w:r>
      <w:r>
        <w:rPr/>
        <w:t>de capital</w:t>
      </w:r>
      <w:r>
        <w:rPr>
          <w:spacing w:val="-8"/>
        </w:rPr>
        <w:t> </w:t>
      </w:r>
      <w:r>
        <w:rPr/>
        <w:t>de</w:t>
      </w:r>
      <w:r>
        <w:rPr>
          <w:spacing w:val="-8"/>
        </w:rPr>
        <w:t> </w:t>
      </w:r>
      <w:r>
        <w:rPr/>
        <w:t>trabajo</w:t>
      </w:r>
      <w:r>
        <w:rPr>
          <w:spacing w:val="-8"/>
        </w:rPr>
        <w:t> </w:t>
      </w:r>
      <w:r>
        <w:rPr/>
        <w:t>y</w:t>
      </w:r>
      <w:r>
        <w:rPr>
          <w:spacing w:val="-8"/>
        </w:rPr>
        <w:t> </w:t>
      </w:r>
      <w:r>
        <w:rPr/>
        <w:t>en</w:t>
      </w:r>
      <w:r>
        <w:rPr>
          <w:spacing w:val="-8"/>
        </w:rPr>
        <w:t> </w:t>
      </w:r>
      <w:r>
        <w:rPr/>
        <w:t>la</w:t>
      </w:r>
      <w:r>
        <w:rPr>
          <w:spacing w:val="-9"/>
        </w:rPr>
        <w:t> </w:t>
      </w:r>
      <w:r>
        <w:rPr/>
        <w:t>capacidad</w:t>
      </w:r>
      <w:r>
        <w:rPr>
          <w:spacing w:val="-8"/>
        </w:rPr>
        <w:t> </w:t>
      </w:r>
      <w:r>
        <w:rPr/>
        <w:t>de</w:t>
      </w:r>
      <w:r>
        <w:rPr>
          <w:spacing w:val="-8"/>
        </w:rPr>
        <w:t> </w:t>
      </w:r>
      <w:r>
        <w:rPr/>
        <w:t>afrontar</w:t>
      </w:r>
      <w:r>
        <w:rPr>
          <w:spacing w:val="-8"/>
        </w:rPr>
        <w:t> </w:t>
      </w:r>
      <w:r>
        <w:rPr/>
        <w:t>otras</w:t>
      </w:r>
      <w:r>
        <w:rPr>
          <w:spacing w:val="-7"/>
        </w:rPr>
        <w:t> </w:t>
      </w:r>
      <w:r>
        <w:rPr/>
        <w:t>responsabilidades,</w:t>
      </w:r>
      <w:r>
        <w:rPr>
          <w:spacing w:val="-7"/>
        </w:rPr>
        <w:t> </w:t>
      </w:r>
      <w:r>
        <w:rPr/>
        <w:t>dado</w:t>
      </w:r>
      <w:r>
        <w:rPr>
          <w:spacing w:val="-8"/>
        </w:rPr>
        <w:t> </w:t>
      </w:r>
      <w:r>
        <w:rPr/>
        <w:t>que</w:t>
      </w:r>
      <w:r>
        <w:rPr>
          <w:spacing w:val="-8"/>
        </w:rPr>
        <w:t> </w:t>
      </w:r>
      <w:r>
        <w:rPr/>
        <w:t>el impuesto reduce los recursos financieros disponibles.</w:t>
      </w:r>
    </w:p>
    <w:p>
      <w:pPr>
        <w:pStyle w:val="BodyText"/>
        <w:spacing w:line="480" w:lineRule="auto" w:before="1"/>
        <w:ind w:left="995" w:right="991" w:firstLine="720"/>
        <w:jc w:val="both"/>
      </w:pPr>
      <w:r>
        <w:rPr/>
        <w:t>Por otro lado, Arroba y Reyes (2019) analizan los beneficios fiscales asociados</w:t>
      </w:r>
      <w:r>
        <w:rPr>
          <w:spacing w:val="-15"/>
        </w:rPr>
        <w:t> </w:t>
      </w:r>
      <w:r>
        <w:rPr/>
        <w:t>al</w:t>
      </w:r>
      <w:r>
        <w:rPr>
          <w:spacing w:val="-15"/>
        </w:rPr>
        <w:t> </w:t>
      </w:r>
      <w:r>
        <w:rPr/>
        <w:t>“Crédito</w:t>
      </w:r>
      <w:r>
        <w:rPr>
          <w:spacing w:val="-15"/>
        </w:rPr>
        <w:t> </w:t>
      </w:r>
      <w:r>
        <w:rPr/>
        <w:t>tributario</w:t>
      </w:r>
      <w:r>
        <w:rPr>
          <w:spacing w:val="-15"/>
        </w:rPr>
        <w:t> </w:t>
      </w:r>
      <w:r>
        <w:rPr/>
        <w:t>de</w:t>
      </w:r>
      <w:r>
        <w:rPr>
          <w:spacing w:val="-15"/>
        </w:rPr>
        <w:t> </w:t>
      </w:r>
      <w:r>
        <w:rPr/>
        <w:t>las</w:t>
      </w:r>
      <w:r>
        <w:rPr>
          <w:spacing w:val="-15"/>
        </w:rPr>
        <w:t> </w:t>
      </w:r>
      <w:r>
        <w:rPr/>
        <w:t>deducciones</w:t>
      </w:r>
      <w:r>
        <w:rPr>
          <w:spacing w:val="-15"/>
        </w:rPr>
        <w:t> </w:t>
      </w:r>
      <w:r>
        <w:rPr/>
        <w:t>en</w:t>
      </w:r>
      <w:r>
        <w:rPr>
          <w:spacing w:val="-15"/>
        </w:rPr>
        <w:t> </w:t>
      </w:r>
      <w:r>
        <w:rPr/>
        <w:t>la</w:t>
      </w:r>
      <w:r>
        <w:rPr>
          <w:spacing w:val="-15"/>
        </w:rPr>
        <w:t> </w:t>
      </w:r>
      <w:r>
        <w:rPr/>
        <w:t>fuente</w:t>
      </w:r>
      <w:r>
        <w:rPr>
          <w:spacing w:val="-15"/>
        </w:rPr>
        <w:t> </w:t>
      </w:r>
      <w:r>
        <w:rPr/>
        <w:t>del</w:t>
      </w:r>
      <w:r>
        <w:rPr>
          <w:spacing w:val="-15"/>
        </w:rPr>
        <w:t> </w:t>
      </w:r>
      <w:r>
        <w:rPr/>
        <w:t>impuesto</w:t>
      </w:r>
      <w:r>
        <w:rPr>
          <w:spacing w:val="-15"/>
        </w:rPr>
        <w:t> </w:t>
      </w:r>
      <w:r>
        <w:rPr/>
        <w:t>al</w:t>
      </w:r>
      <w:r>
        <w:rPr>
          <w:spacing w:val="-15"/>
        </w:rPr>
        <w:t> </w:t>
      </w:r>
      <w:r>
        <w:rPr/>
        <w:t>valor añadido</w:t>
      </w:r>
      <w:r>
        <w:rPr>
          <w:spacing w:val="-9"/>
        </w:rPr>
        <w:t> </w:t>
      </w:r>
      <w:r>
        <w:rPr/>
        <w:t>(IVA)</w:t>
      </w:r>
      <w:r>
        <w:rPr>
          <w:spacing w:val="-9"/>
        </w:rPr>
        <w:t> </w:t>
      </w:r>
      <w:r>
        <w:rPr/>
        <w:t>y</w:t>
      </w:r>
      <w:r>
        <w:rPr>
          <w:spacing w:val="-9"/>
        </w:rPr>
        <w:t> </w:t>
      </w:r>
      <w:r>
        <w:rPr/>
        <w:t>su</w:t>
      </w:r>
      <w:r>
        <w:rPr>
          <w:spacing w:val="-11"/>
        </w:rPr>
        <w:t> </w:t>
      </w:r>
      <w:r>
        <w:rPr/>
        <w:t>incidencia</w:t>
      </w:r>
      <w:r>
        <w:rPr>
          <w:spacing w:val="-10"/>
        </w:rPr>
        <w:t> </w:t>
      </w:r>
      <w:r>
        <w:rPr/>
        <w:t>en</w:t>
      </w:r>
      <w:r>
        <w:rPr>
          <w:spacing w:val="-10"/>
        </w:rPr>
        <w:t> </w:t>
      </w:r>
      <w:r>
        <w:rPr/>
        <w:t>la</w:t>
      </w:r>
      <w:r>
        <w:rPr>
          <w:spacing w:val="-11"/>
        </w:rPr>
        <w:t> </w:t>
      </w:r>
      <w:r>
        <w:rPr/>
        <w:t>liquidez</w:t>
      </w:r>
      <w:r>
        <w:rPr>
          <w:spacing w:val="-11"/>
        </w:rPr>
        <w:t> </w:t>
      </w:r>
      <w:r>
        <w:rPr/>
        <w:t>de</w:t>
      </w:r>
      <w:r>
        <w:rPr>
          <w:spacing w:val="-10"/>
        </w:rPr>
        <w:t> </w:t>
      </w:r>
      <w:r>
        <w:rPr/>
        <w:t>Plastiprint”.</w:t>
      </w:r>
      <w:r>
        <w:rPr>
          <w:spacing w:val="-9"/>
        </w:rPr>
        <w:t> </w:t>
      </w:r>
      <w:r>
        <w:rPr/>
        <w:t>El</w:t>
      </w:r>
      <w:r>
        <w:rPr>
          <w:spacing w:val="-11"/>
        </w:rPr>
        <w:t> </w:t>
      </w:r>
      <w:r>
        <w:rPr/>
        <w:t>objetivo</w:t>
      </w:r>
      <w:r>
        <w:rPr>
          <w:spacing w:val="-9"/>
        </w:rPr>
        <w:t> </w:t>
      </w:r>
      <w:r>
        <w:rPr/>
        <w:t>del</w:t>
      </w:r>
      <w:r>
        <w:rPr>
          <w:spacing w:val="-11"/>
        </w:rPr>
        <w:t> </w:t>
      </w:r>
      <w:r>
        <w:rPr/>
        <w:t>artículo es</w:t>
      </w:r>
      <w:r>
        <w:rPr>
          <w:spacing w:val="-15"/>
        </w:rPr>
        <w:t> </w:t>
      </w:r>
      <w:r>
        <w:rPr/>
        <w:t>examinar</w:t>
      </w:r>
      <w:r>
        <w:rPr>
          <w:spacing w:val="-15"/>
        </w:rPr>
        <w:t> </w:t>
      </w:r>
      <w:r>
        <w:rPr/>
        <w:t>los</w:t>
      </w:r>
      <w:r>
        <w:rPr>
          <w:spacing w:val="-15"/>
        </w:rPr>
        <w:t> </w:t>
      </w:r>
      <w:r>
        <w:rPr/>
        <w:t>impactos</w:t>
      </w:r>
      <w:r>
        <w:rPr>
          <w:spacing w:val="-15"/>
        </w:rPr>
        <w:t> </w:t>
      </w:r>
      <w:r>
        <w:rPr/>
        <w:t>económicos</w:t>
      </w:r>
      <w:r>
        <w:rPr>
          <w:spacing w:val="-15"/>
        </w:rPr>
        <w:t> </w:t>
      </w:r>
      <w:r>
        <w:rPr/>
        <w:t>resultantes</w:t>
      </w:r>
      <w:r>
        <w:rPr>
          <w:spacing w:val="-15"/>
        </w:rPr>
        <w:t> </w:t>
      </w:r>
      <w:r>
        <w:rPr/>
        <w:t>de</w:t>
      </w:r>
      <w:r>
        <w:rPr>
          <w:spacing w:val="-15"/>
        </w:rPr>
        <w:t> </w:t>
      </w:r>
      <w:r>
        <w:rPr/>
        <w:t>la</w:t>
      </w:r>
      <w:r>
        <w:rPr>
          <w:spacing w:val="-15"/>
        </w:rPr>
        <w:t> </w:t>
      </w:r>
      <w:r>
        <w:rPr/>
        <w:t>acumulación</w:t>
      </w:r>
      <w:r>
        <w:rPr>
          <w:spacing w:val="-15"/>
        </w:rPr>
        <w:t> </w:t>
      </w:r>
      <w:r>
        <w:rPr/>
        <w:t>de</w:t>
      </w:r>
      <w:r>
        <w:rPr>
          <w:spacing w:val="-15"/>
        </w:rPr>
        <w:t> </w:t>
      </w:r>
      <w:r>
        <w:rPr/>
        <w:t>deducciones del IVA, así como la cultura fiscal y su impacto en los estados financieros. La investigación combina métodos cuantitativos y cualitativos para la recopilación y evaluación de información, lo que permite una integración efectiva de ambos enfoques</w:t>
      </w:r>
      <w:r>
        <w:rPr>
          <w:spacing w:val="-1"/>
        </w:rPr>
        <w:t> </w:t>
      </w:r>
      <w:r>
        <w:rPr/>
        <w:t>y</w:t>
      </w:r>
      <w:r>
        <w:rPr>
          <w:spacing w:val="-2"/>
        </w:rPr>
        <w:t> </w:t>
      </w:r>
      <w:r>
        <w:rPr/>
        <w:t>minimiza</w:t>
      </w:r>
      <w:r>
        <w:rPr>
          <w:spacing w:val="-1"/>
        </w:rPr>
        <w:t> </w:t>
      </w:r>
      <w:r>
        <w:rPr/>
        <w:t>sus</w:t>
      </w:r>
      <w:r>
        <w:rPr>
          <w:spacing w:val="-1"/>
        </w:rPr>
        <w:t> </w:t>
      </w:r>
      <w:r>
        <w:rPr/>
        <w:t>debilidades.</w:t>
      </w:r>
      <w:r>
        <w:rPr>
          <w:spacing w:val="-1"/>
        </w:rPr>
        <w:t> </w:t>
      </w:r>
      <w:r>
        <w:rPr/>
        <w:t>Se</w:t>
      </w:r>
      <w:r>
        <w:rPr>
          <w:spacing w:val="-2"/>
        </w:rPr>
        <w:t> </w:t>
      </w:r>
      <w:r>
        <w:rPr/>
        <w:t>identifica</w:t>
      </w:r>
      <w:r>
        <w:rPr>
          <w:spacing w:val="-2"/>
        </w:rPr>
        <w:t> </w:t>
      </w:r>
      <w:r>
        <w:rPr/>
        <w:t>una</w:t>
      </w:r>
      <w:r>
        <w:rPr>
          <w:spacing w:val="-2"/>
        </w:rPr>
        <w:t> </w:t>
      </w:r>
      <w:r>
        <w:rPr/>
        <w:t>problemática</w:t>
      </w:r>
      <w:r>
        <w:rPr>
          <w:spacing w:val="-3"/>
        </w:rPr>
        <w:t> </w:t>
      </w:r>
      <w:r>
        <w:rPr/>
        <w:t>en</w:t>
      </w:r>
      <w:r>
        <w:rPr>
          <w:spacing w:val="-2"/>
        </w:rPr>
        <w:t> </w:t>
      </w:r>
      <w:r>
        <w:rPr/>
        <w:t>el</w:t>
      </w:r>
      <w:r>
        <w:rPr>
          <w:spacing w:val="-3"/>
        </w:rPr>
        <w:t> </w:t>
      </w:r>
      <w:r>
        <w:rPr/>
        <w:t>negocio relacionada con las inconsistencias que surgen en los estados financieros debido a la acumulación de estas retenciones.</w:t>
      </w:r>
    </w:p>
    <w:p>
      <w:pPr>
        <w:pStyle w:val="BodyText"/>
        <w:spacing w:line="480" w:lineRule="auto" w:before="1"/>
        <w:ind w:left="995" w:right="992" w:firstLine="720"/>
        <w:jc w:val="both"/>
      </w:pPr>
      <w:r>
        <w:rPr/>
        <w:t>En su tesis, Ramírez y Sisalema (2021) plantean que el “El Gravamen al Valor Agregado (IVA) es uno de los impuestos indirectos más significativos para la administración tributaria ecuatoriana”. El Artículo 72 de la Ley de Régimen Tributario Interno establece la restitución del IVA abonado a exportadores lo cual resulta crucial para la liquidez de las empresas. Este estudio se enfoca en analizar cómo el procedimiento de restitución del IVA impacta en la solvencia de las empresas exportadoras de productos, considerando tanto a individuos obligados a llevar</w:t>
      </w:r>
      <w:r>
        <w:rPr>
          <w:spacing w:val="40"/>
        </w:rPr>
        <w:t> </w:t>
      </w:r>
      <w:r>
        <w:rPr/>
        <w:t>contabilidad</w:t>
      </w:r>
      <w:r>
        <w:rPr>
          <w:spacing w:val="40"/>
        </w:rPr>
        <w:t> </w:t>
      </w:r>
      <w:r>
        <w:rPr/>
        <w:t>como</w:t>
      </w:r>
      <w:r>
        <w:rPr>
          <w:spacing w:val="40"/>
        </w:rPr>
        <w:t> </w:t>
      </w:r>
      <w:r>
        <w:rPr/>
        <w:t>a</w:t>
      </w:r>
      <w:r>
        <w:rPr>
          <w:spacing w:val="40"/>
        </w:rPr>
        <w:t> </w:t>
      </w:r>
      <w:r>
        <w:rPr/>
        <w:t>entidades</w:t>
      </w:r>
      <w:r>
        <w:rPr>
          <w:spacing w:val="40"/>
        </w:rPr>
        <w:t> </w:t>
      </w:r>
      <w:r>
        <w:rPr/>
        <w:t>jurídicas</w:t>
      </w:r>
      <w:r>
        <w:rPr>
          <w:spacing w:val="39"/>
        </w:rPr>
        <w:t> </w:t>
      </w:r>
      <w:r>
        <w:rPr/>
        <w:t>en</w:t>
      </w:r>
      <w:r>
        <w:rPr>
          <w:spacing w:val="40"/>
        </w:rPr>
        <w:t> </w:t>
      </w:r>
      <w:r>
        <w:rPr/>
        <w:t>la</w:t>
      </w:r>
      <w:r>
        <w:rPr>
          <w:spacing w:val="40"/>
        </w:rPr>
        <w:t> </w:t>
      </w:r>
      <w:r>
        <w:rPr/>
        <w:t>provincia</w:t>
      </w:r>
      <w:r>
        <w:rPr>
          <w:spacing w:val="39"/>
        </w:rPr>
        <w:t> </w:t>
      </w:r>
      <w:r>
        <w:rPr/>
        <w:t>de</w:t>
      </w:r>
      <w:r>
        <w:rPr>
          <w:spacing w:val="40"/>
        </w:rPr>
        <w:t> </w:t>
      </w:r>
      <w:r>
        <w:rPr/>
        <w:t>Cotopaxi.</w:t>
      </w:r>
      <w:r>
        <w:rPr>
          <w:spacing w:val="40"/>
        </w:rPr>
        <w:t> </w:t>
      </w:r>
      <w:r>
        <w:rPr>
          <w:spacing w:val="-5"/>
        </w:rPr>
        <w:t>Se</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995" w:right="992"/>
        <w:jc w:val="both"/>
      </w:pPr>
      <w:r>
        <w:rPr/>
        <w:t>utilizó un enfoque cuantitativo y se llevó a cabo una investigación de campo mediante encuestas a contadores y jefes financieros de 62 empresas exportadoras. Las conclusiones señalan que el desconocimiento del proceso de devolución del IVA impide aprovechar plenamente este beneficio, y que la falta de solicitudes de devolución puede afectar la liquidez empresarial. Para agilizar el proceso de devolución, se diseñó un formato en Excel que automatiza uno de los requisitos esenciales para los contribuyentes ante la Administración de Impuestos Internos (AII), además de especificar el procedimiento y la normativa aplicable.</w:t>
      </w:r>
    </w:p>
    <w:p>
      <w:pPr>
        <w:pStyle w:val="Heading4"/>
        <w:numPr>
          <w:ilvl w:val="2"/>
          <w:numId w:val="10"/>
        </w:numPr>
        <w:tabs>
          <w:tab w:pos="1033" w:val="left" w:leader="none"/>
        </w:tabs>
        <w:spacing w:line="240" w:lineRule="auto" w:before="1" w:after="0"/>
        <w:ind w:left="1033" w:right="0" w:hanging="606"/>
        <w:jc w:val="both"/>
      </w:pPr>
      <w:bookmarkStart w:name="_bookmark26" w:id="27"/>
      <w:bookmarkEnd w:id="27"/>
      <w:r>
        <w:rPr>
          <w:b w:val="0"/>
          <w:i w:val="0"/>
        </w:rPr>
      </w:r>
      <w:r>
        <w:rPr/>
        <w:t>A</w:t>
      </w:r>
      <w:r>
        <w:rPr>
          <w:spacing w:val="-3"/>
        </w:rPr>
        <w:t> </w:t>
      </w:r>
      <w:r>
        <w:rPr/>
        <w:t>nivel</w:t>
      </w:r>
      <w:r>
        <w:rPr>
          <w:spacing w:val="-2"/>
        </w:rPr>
        <w:t> nacional</w:t>
      </w:r>
    </w:p>
    <w:p>
      <w:pPr>
        <w:pStyle w:val="BodyText"/>
        <w:rPr>
          <w:b/>
          <w:i/>
        </w:rPr>
      </w:pPr>
    </w:p>
    <w:p>
      <w:pPr>
        <w:pStyle w:val="BodyText"/>
        <w:spacing w:line="480" w:lineRule="auto"/>
        <w:ind w:left="1135" w:right="990" w:firstLine="720"/>
        <w:jc w:val="both"/>
      </w:pPr>
      <w:r>
        <w:rPr/>
        <w:t>Fernández</w:t>
      </w:r>
      <w:r>
        <w:rPr>
          <w:spacing w:val="-2"/>
        </w:rPr>
        <w:t> </w:t>
      </w:r>
      <w:r>
        <w:rPr/>
        <w:t>(2022),</w:t>
      </w:r>
      <w:r>
        <w:rPr>
          <w:spacing w:val="-2"/>
        </w:rPr>
        <w:t> </w:t>
      </w:r>
      <w:r>
        <w:rPr/>
        <w:t>en</w:t>
      </w:r>
      <w:r>
        <w:rPr>
          <w:spacing w:val="-2"/>
        </w:rPr>
        <w:t> </w:t>
      </w:r>
      <w:r>
        <w:rPr/>
        <w:t>su</w:t>
      </w:r>
      <w:r>
        <w:rPr>
          <w:spacing w:val="-1"/>
        </w:rPr>
        <w:t> </w:t>
      </w:r>
      <w:r>
        <w:rPr/>
        <w:t>estudio</w:t>
      </w:r>
      <w:r>
        <w:rPr>
          <w:spacing w:val="-2"/>
        </w:rPr>
        <w:t> </w:t>
      </w:r>
      <w:r>
        <w:rPr/>
        <w:t>"Gravamen</w:t>
      </w:r>
      <w:r>
        <w:rPr>
          <w:spacing w:val="-2"/>
        </w:rPr>
        <w:t> </w:t>
      </w:r>
      <w:r>
        <w:rPr/>
        <w:t>General</w:t>
      </w:r>
      <w:r>
        <w:rPr>
          <w:spacing w:val="-3"/>
        </w:rPr>
        <w:t> </w:t>
      </w:r>
      <w:r>
        <w:rPr/>
        <w:t>a</w:t>
      </w:r>
      <w:r>
        <w:rPr>
          <w:spacing w:val="-2"/>
        </w:rPr>
        <w:t> </w:t>
      </w:r>
      <w:r>
        <w:rPr/>
        <w:t>las</w:t>
      </w:r>
      <w:r>
        <w:rPr>
          <w:spacing w:val="-2"/>
        </w:rPr>
        <w:t> </w:t>
      </w:r>
      <w:r>
        <w:rPr/>
        <w:t>Ventas</w:t>
      </w:r>
      <w:r>
        <w:rPr>
          <w:spacing w:val="-1"/>
        </w:rPr>
        <w:t> </w:t>
      </w:r>
      <w:r>
        <w:rPr/>
        <w:t>y</w:t>
      </w:r>
      <w:r>
        <w:rPr>
          <w:spacing w:val="-2"/>
        </w:rPr>
        <w:t> </w:t>
      </w:r>
      <w:r>
        <w:rPr/>
        <w:t>Saldo Beneficioso para el Exportador en las Compañías Productoras de Explosivos de Lima</w:t>
      </w:r>
      <w:r>
        <w:rPr>
          <w:spacing w:val="-2"/>
        </w:rPr>
        <w:t> </w:t>
      </w:r>
      <w:r>
        <w:rPr/>
        <w:t>Metropolitana,</w:t>
      </w:r>
      <w:r>
        <w:rPr>
          <w:spacing w:val="-1"/>
        </w:rPr>
        <w:t> </w:t>
      </w:r>
      <w:r>
        <w:rPr/>
        <w:t>2021",</w:t>
      </w:r>
      <w:r>
        <w:rPr>
          <w:spacing w:val="-2"/>
        </w:rPr>
        <w:t> </w:t>
      </w:r>
      <w:r>
        <w:rPr/>
        <w:t>El</w:t>
      </w:r>
      <w:r>
        <w:rPr>
          <w:spacing w:val="-3"/>
        </w:rPr>
        <w:t> </w:t>
      </w:r>
      <w:r>
        <w:rPr/>
        <w:t>objetivo</w:t>
      </w:r>
      <w:r>
        <w:rPr>
          <w:spacing w:val="-2"/>
        </w:rPr>
        <w:t> </w:t>
      </w:r>
      <w:r>
        <w:rPr/>
        <w:t>es</w:t>
      </w:r>
      <w:r>
        <w:rPr>
          <w:spacing w:val="-2"/>
        </w:rPr>
        <w:t> </w:t>
      </w:r>
      <w:r>
        <w:rPr/>
        <w:t>analizar</w:t>
      </w:r>
      <w:r>
        <w:rPr>
          <w:spacing w:val="-2"/>
        </w:rPr>
        <w:t> </w:t>
      </w:r>
      <w:r>
        <w:rPr/>
        <w:t>la</w:t>
      </w:r>
      <w:r>
        <w:rPr>
          <w:spacing w:val="-3"/>
        </w:rPr>
        <w:t> </w:t>
      </w:r>
      <w:r>
        <w:rPr/>
        <w:t>relación entre</w:t>
      </w:r>
      <w:r>
        <w:rPr>
          <w:spacing w:val="-2"/>
        </w:rPr>
        <w:t> </w:t>
      </w:r>
      <w:r>
        <w:rPr/>
        <w:t>el</w:t>
      </w:r>
      <w:r>
        <w:rPr>
          <w:spacing w:val="-3"/>
        </w:rPr>
        <w:t> </w:t>
      </w:r>
      <w:r>
        <w:rPr/>
        <w:t>Gravamen General sobre las Ventas (IGV) y el Saldo Beneficioso para el Exportador en compañías productoras de explosivos de Lima Metropolitana. La investigación, de carácter básico, emplea un esquema sin experimentación y transversal. Los hallazgos</w:t>
      </w:r>
      <w:r>
        <w:rPr>
          <w:spacing w:val="-1"/>
        </w:rPr>
        <w:t> </w:t>
      </w:r>
      <w:r>
        <w:rPr/>
        <w:t>demuestran</w:t>
      </w:r>
      <w:r>
        <w:rPr>
          <w:spacing w:val="-1"/>
        </w:rPr>
        <w:t> </w:t>
      </w:r>
      <w:r>
        <w:rPr/>
        <w:t>que</w:t>
      </w:r>
      <w:r>
        <w:rPr>
          <w:spacing w:val="-1"/>
        </w:rPr>
        <w:t> </w:t>
      </w:r>
      <w:r>
        <w:rPr/>
        <w:t>el</w:t>
      </w:r>
      <w:r>
        <w:rPr>
          <w:spacing w:val="-1"/>
        </w:rPr>
        <w:t> </w:t>
      </w:r>
      <w:r>
        <w:rPr/>
        <w:t>instrumento</w:t>
      </w:r>
      <w:r>
        <w:rPr>
          <w:spacing w:val="-1"/>
        </w:rPr>
        <w:t> </w:t>
      </w:r>
      <w:r>
        <w:rPr/>
        <w:t>tiene</w:t>
      </w:r>
      <w:r>
        <w:rPr>
          <w:spacing w:val="-1"/>
        </w:rPr>
        <w:t> </w:t>
      </w:r>
      <w:r>
        <w:rPr/>
        <w:t>una</w:t>
      </w:r>
      <w:r>
        <w:rPr>
          <w:spacing w:val="-1"/>
        </w:rPr>
        <w:t> </w:t>
      </w:r>
      <w:r>
        <w:rPr/>
        <w:t>alta</w:t>
      </w:r>
      <w:r>
        <w:rPr>
          <w:spacing w:val="-1"/>
        </w:rPr>
        <w:t> </w:t>
      </w:r>
      <w:r>
        <w:rPr/>
        <w:t>fiabilidad,</w:t>
      </w:r>
      <w:r>
        <w:rPr>
          <w:spacing w:val="-1"/>
        </w:rPr>
        <w:t> </w:t>
      </w:r>
      <w:r>
        <w:rPr/>
        <w:t>respaldada</w:t>
      </w:r>
      <w:r>
        <w:rPr>
          <w:spacing w:val="-1"/>
        </w:rPr>
        <w:t> </w:t>
      </w:r>
      <w:r>
        <w:rPr/>
        <w:t>por el coeficiente Alfa de Cronbach. De igual manera, se confirman todas las suposiciones</w:t>
      </w:r>
      <w:r>
        <w:rPr>
          <w:spacing w:val="-14"/>
        </w:rPr>
        <w:t> </w:t>
      </w:r>
      <w:r>
        <w:rPr/>
        <w:t>alternativas</w:t>
      </w:r>
      <w:r>
        <w:rPr>
          <w:spacing w:val="-14"/>
        </w:rPr>
        <w:t> </w:t>
      </w:r>
      <w:r>
        <w:rPr/>
        <w:t>que</w:t>
      </w:r>
      <w:r>
        <w:rPr>
          <w:spacing w:val="-15"/>
        </w:rPr>
        <w:t> </w:t>
      </w:r>
      <w:r>
        <w:rPr/>
        <w:t>vinculan</w:t>
      </w:r>
      <w:r>
        <w:rPr>
          <w:spacing w:val="-15"/>
        </w:rPr>
        <w:t> </w:t>
      </w:r>
      <w:r>
        <w:rPr/>
        <w:t>el</w:t>
      </w:r>
      <w:r>
        <w:rPr>
          <w:spacing w:val="-15"/>
        </w:rPr>
        <w:t> </w:t>
      </w:r>
      <w:r>
        <w:rPr/>
        <w:t>IGV</w:t>
      </w:r>
      <w:r>
        <w:rPr>
          <w:spacing w:val="-13"/>
        </w:rPr>
        <w:t> </w:t>
      </w:r>
      <w:r>
        <w:rPr/>
        <w:t>con</w:t>
      </w:r>
      <w:r>
        <w:rPr>
          <w:spacing w:val="-15"/>
        </w:rPr>
        <w:t> </w:t>
      </w:r>
      <w:r>
        <w:rPr/>
        <w:t>las</w:t>
      </w:r>
      <w:r>
        <w:rPr>
          <w:spacing w:val="-14"/>
        </w:rPr>
        <w:t> </w:t>
      </w:r>
      <w:r>
        <w:rPr/>
        <w:t>exportaciones,</w:t>
      </w:r>
      <w:r>
        <w:rPr>
          <w:spacing w:val="-14"/>
        </w:rPr>
        <w:t> </w:t>
      </w:r>
      <w:r>
        <w:rPr/>
        <w:t>la</w:t>
      </w:r>
      <w:r>
        <w:rPr>
          <w:spacing w:val="-15"/>
        </w:rPr>
        <w:t> </w:t>
      </w:r>
      <w:r>
        <w:rPr/>
        <w:t>restitución del IGV al exportador y las adquisiciones locales. En conclusión, para las compañías productoras de explosivos en Lima Metropolitana, cuyo volumen de ventas locales excede al de sus exportaciones, no resulta favorable calcular el Saldo</w:t>
      </w:r>
      <w:r>
        <w:rPr>
          <w:spacing w:val="-8"/>
        </w:rPr>
        <w:t> </w:t>
      </w:r>
      <w:r>
        <w:rPr/>
        <w:t>Beneficioso</w:t>
      </w:r>
      <w:r>
        <w:rPr>
          <w:spacing w:val="-7"/>
        </w:rPr>
        <w:t> </w:t>
      </w:r>
      <w:r>
        <w:rPr/>
        <w:t>para</w:t>
      </w:r>
      <w:r>
        <w:rPr>
          <w:spacing w:val="-8"/>
        </w:rPr>
        <w:t> </w:t>
      </w:r>
      <w:r>
        <w:rPr/>
        <w:t>el</w:t>
      </w:r>
      <w:r>
        <w:rPr>
          <w:spacing w:val="-9"/>
        </w:rPr>
        <w:t> </w:t>
      </w:r>
      <w:r>
        <w:rPr/>
        <w:t>Exportador,</w:t>
      </w:r>
      <w:r>
        <w:rPr>
          <w:spacing w:val="-8"/>
        </w:rPr>
        <w:t> </w:t>
      </w:r>
      <w:r>
        <w:rPr/>
        <w:t>dado</w:t>
      </w:r>
      <w:r>
        <w:rPr>
          <w:spacing w:val="-8"/>
        </w:rPr>
        <w:t> </w:t>
      </w:r>
      <w:r>
        <w:rPr/>
        <w:t>que</w:t>
      </w:r>
      <w:r>
        <w:rPr>
          <w:spacing w:val="-8"/>
        </w:rPr>
        <w:t> </w:t>
      </w:r>
      <w:r>
        <w:rPr/>
        <w:t>será</w:t>
      </w:r>
      <w:r>
        <w:rPr>
          <w:spacing w:val="-8"/>
        </w:rPr>
        <w:t> </w:t>
      </w:r>
      <w:r>
        <w:rPr/>
        <w:t>reducido</w:t>
      </w:r>
      <w:r>
        <w:rPr>
          <w:spacing w:val="-8"/>
        </w:rPr>
        <w:t> </w:t>
      </w:r>
      <w:r>
        <w:rPr/>
        <w:t>por</w:t>
      </w:r>
      <w:r>
        <w:rPr>
          <w:spacing w:val="-7"/>
        </w:rPr>
        <w:t> </w:t>
      </w:r>
      <w:r>
        <w:rPr/>
        <w:t>el</w:t>
      </w:r>
      <w:r>
        <w:rPr>
          <w:spacing w:val="-9"/>
        </w:rPr>
        <w:t> </w:t>
      </w:r>
      <w:r>
        <w:rPr/>
        <w:t>débito</w:t>
      </w:r>
      <w:r>
        <w:rPr>
          <w:spacing w:val="-8"/>
        </w:rPr>
        <w:t> </w:t>
      </w:r>
      <w:r>
        <w:rPr/>
        <w:t>fiscal. Esta situación es frecuente, y se recomienda utilizar el crédito tributario para compensar otros impuestos o acumularlo mensualmente.</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135" w:right="991" w:firstLine="720"/>
        <w:jc w:val="both"/>
      </w:pPr>
      <w:r>
        <w:rPr/>
        <w:t>Quintana y Rivera (2022) desarrollaron la tesis titulada " Exención del Impuesto General sobre las Ventas y Expansión Empresarial en el Distrito de Chanchamayo,</w:t>
      </w:r>
      <w:r>
        <w:rPr>
          <w:spacing w:val="57"/>
        </w:rPr>
        <w:t> </w:t>
      </w:r>
      <w:r>
        <w:rPr/>
        <w:t>2021".</w:t>
      </w:r>
      <w:r>
        <w:rPr>
          <w:spacing w:val="58"/>
        </w:rPr>
        <w:t> </w:t>
      </w:r>
      <w:r>
        <w:rPr/>
        <w:t>La</w:t>
      </w:r>
      <w:r>
        <w:rPr>
          <w:spacing w:val="58"/>
        </w:rPr>
        <w:t> </w:t>
      </w:r>
      <w:r>
        <w:rPr/>
        <w:t>investigación</w:t>
      </w:r>
      <w:r>
        <w:rPr>
          <w:spacing w:val="60"/>
        </w:rPr>
        <w:t> </w:t>
      </w:r>
      <w:r>
        <w:rPr/>
        <w:t>se</w:t>
      </w:r>
      <w:r>
        <w:rPr>
          <w:spacing w:val="58"/>
        </w:rPr>
        <w:t> </w:t>
      </w:r>
      <w:r>
        <w:rPr/>
        <w:t>enfocó</w:t>
      </w:r>
      <w:r>
        <w:rPr>
          <w:spacing w:val="60"/>
        </w:rPr>
        <w:t> </w:t>
      </w:r>
      <w:r>
        <w:rPr/>
        <w:t>en</w:t>
      </w:r>
      <w:r>
        <w:rPr>
          <w:spacing w:val="59"/>
        </w:rPr>
        <w:t> </w:t>
      </w:r>
      <w:r>
        <w:rPr/>
        <w:t>responder</w:t>
      </w:r>
      <w:r>
        <w:rPr>
          <w:spacing w:val="58"/>
        </w:rPr>
        <w:t> </w:t>
      </w:r>
      <w:r>
        <w:rPr/>
        <w:t>la</w:t>
      </w:r>
      <w:r>
        <w:rPr>
          <w:spacing w:val="58"/>
        </w:rPr>
        <w:t> </w:t>
      </w:r>
      <w:r>
        <w:rPr>
          <w:spacing w:val="-2"/>
        </w:rPr>
        <w:t>pregunta:</w:t>
      </w:r>
    </w:p>
    <w:p>
      <w:pPr>
        <w:pStyle w:val="BodyText"/>
        <w:spacing w:line="480" w:lineRule="auto" w:before="1"/>
        <w:ind w:left="1135" w:right="990"/>
        <w:jc w:val="both"/>
      </w:pPr>
      <w:r>
        <w:rPr/>
        <w:t>¿Existe</w:t>
      </w:r>
      <w:r>
        <w:rPr>
          <w:spacing w:val="-12"/>
        </w:rPr>
        <w:t> </w:t>
      </w:r>
      <w:r>
        <w:rPr/>
        <w:t>una</w:t>
      </w:r>
      <w:r>
        <w:rPr>
          <w:spacing w:val="-12"/>
        </w:rPr>
        <w:t> </w:t>
      </w:r>
      <w:r>
        <w:rPr/>
        <w:t>relación</w:t>
      </w:r>
      <w:r>
        <w:rPr>
          <w:spacing w:val="-8"/>
        </w:rPr>
        <w:t> </w:t>
      </w:r>
      <w:r>
        <w:rPr/>
        <w:t>de</w:t>
      </w:r>
      <w:r>
        <w:rPr>
          <w:spacing w:val="-12"/>
        </w:rPr>
        <w:t> </w:t>
      </w:r>
      <w:r>
        <w:rPr/>
        <w:t>la</w:t>
      </w:r>
      <w:r>
        <w:rPr>
          <w:spacing w:val="-11"/>
        </w:rPr>
        <w:t> </w:t>
      </w:r>
      <w:r>
        <w:rPr/>
        <w:t>exención</w:t>
      </w:r>
      <w:r>
        <w:rPr>
          <w:spacing w:val="-11"/>
        </w:rPr>
        <w:t> </w:t>
      </w:r>
      <w:r>
        <w:rPr/>
        <w:t>del</w:t>
      </w:r>
      <w:r>
        <w:rPr>
          <w:spacing w:val="-11"/>
        </w:rPr>
        <w:t> </w:t>
      </w:r>
      <w:r>
        <w:rPr/>
        <w:t>Gravamen</w:t>
      </w:r>
      <w:r>
        <w:rPr>
          <w:spacing w:val="-12"/>
        </w:rPr>
        <w:t> </w:t>
      </w:r>
      <w:r>
        <w:rPr/>
        <w:t>General</w:t>
      </w:r>
      <w:r>
        <w:rPr>
          <w:spacing w:val="-10"/>
        </w:rPr>
        <w:t> </w:t>
      </w:r>
      <w:r>
        <w:rPr/>
        <w:t>a</w:t>
      </w:r>
      <w:r>
        <w:rPr>
          <w:spacing w:val="-12"/>
        </w:rPr>
        <w:t> </w:t>
      </w:r>
      <w:r>
        <w:rPr/>
        <w:t>las</w:t>
      </w:r>
      <w:r>
        <w:rPr>
          <w:spacing w:val="-11"/>
        </w:rPr>
        <w:t> </w:t>
      </w:r>
      <w:r>
        <w:rPr/>
        <w:t>Ventas,</w:t>
      </w:r>
      <w:r>
        <w:rPr>
          <w:spacing w:val="-11"/>
        </w:rPr>
        <w:t> </w:t>
      </w:r>
      <w:r>
        <w:rPr/>
        <w:t>conforme a</w:t>
      </w:r>
      <w:r>
        <w:rPr>
          <w:spacing w:val="-11"/>
        </w:rPr>
        <w:t> </w:t>
      </w:r>
      <w:r>
        <w:rPr/>
        <w:t>la</w:t>
      </w:r>
      <w:r>
        <w:rPr>
          <w:spacing w:val="-11"/>
        </w:rPr>
        <w:t> </w:t>
      </w:r>
      <w:r>
        <w:rPr/>
        <w:t>Normativa</w:t>
      </w:r>
      <w:r>
        <w:rPr>
          <w:spacing w:val="-9"/>
        </w:rPr>
        <w:t> </w:t>
      </w:r>
      <w:r>
        <w:rPr/>
        <w:t>N°</w:t>
      </w:r>
      <w:r>
        <w:rPr>
          <w:spacing w:val="-10"/>
        </w:rPr>
        <w:t> </w:t>
      </w:r>
      <w:r>
        <w:rPr/>
        <w:t>27037,</w:t>
      </w:r>
      <w:r>
        <w:rPr>
          <w:spacing w:val="-10"/>
        </w:rPr>
        <w:t> </w:t>
      </w:r>
      <w:r>
        <w:rPr/>
        <w:t>y</w:t>
      </w:r>
      <w:r>
        <w:rPr>
          <w:spacing w:val="-10"/>
        </w:rPr>
        <w:t> </w:t>
      </w:r>
      <w:r>
        <w:rPr/>
        <w:t>el</w:t>
      </w:r>
      <w:r>
        <w:rPr>
          <w:spacing w:val="-12"/>
        </w:rPr>
        <w:t> </w:t>
      </w:r>
      <w:r>
        <w:rPr/>
        <w:t>desarrollo</w:t>
      </w:r>
      <w:r>
        <w:rPr>
          <w:spacing w:val="-10"/>
        </w:rPr>
        <w:t> </w:t>
      </w:r>
      <w:r>
        <w:rPr/>
        <w:t>comercial</w:t>
      </w:r>
      <w:r>
        <w:rPr>
          <w:spacing w:val="-11"/>
        </w:rPr>
        <w:t> </w:t>
      </w:r>
      <w:r>
        <w:rPr/>
        <w:t>en</w:t>
      </w:r>
      <w:r>
        <w:rPr>
          <w:spacing w:val="-9"/>
        </w:rPr>
        <w:t> </w:t>
      </w:r>
      <w:r>
        <w:rPr/>
        <w:t>el</w:t>
      </w:r>
      <w:r>
        <w:rPr>
          <w:spacing w:val="-12"/>
        </w:rPr>
        <w:t> </w:t>
      </w:r>
      <w:r>
        <w:rPr/>
        <w:t>distrito</w:t>
      </w:r>
      <w:r>
        <w:rPr>
          <w:spacing w:val="-10"/>
        </w:rPr>
        <w:t> </w:t>
      </w:r>
      <w:r>
        <w:rPr/>
        <w:t>de</w:t>
      </w:r>
      <w:r>
        <w:rPr>
          <w:spacing w:val="-11"/>
        </w:rPr>
        <w:t> </w:t>
      </w:r>
      <w:r>
        <w:rPr/>
        <w:t>Chanchamayo durante 2021? El propósito principal fue establecer dicha conexión. Para ello, se utilizó</w:t>
      </w:r>
      <w:r>
        <w:rPr>
          <w:spacing w:val="-7"/>
        </w:rPr>
        <w:t> </w:t>
      </w:r>
      <w:r>
        <w:rPr/>
        <w:t>el</w:t>
      </w:r>
      <w:r>
        <w:rPr>
          <w:spacing w:val="-6"/>
        </w:rPr>
        <w:t> </w:t>
      </w:r>
      <w:r>
        <w:rPr/>
        <w:t>enfoque</w:t>
      </w:r>
      <w:r>
        <w:rPr>
          <w:spacing w:val="-5"/>
        </w:rPr>
        <w:t> </w:t>
      </w:r>
      <w:r>
        <w:rPr/>
        <w:t>investigativo</w:t>
      </w:r>
      <w:r>
        <w:rPr>
          <w:spacing w:val="-6"/>
        </w:rPr>
        <w:t> </w:t>
      </w:r>
      <w:r>
        <w:rPr/>
        <w:t>como</w:t>
      </w:r>
      <w:r>
        <w:rPr>
          <w:spacing w:val="-6"/>
        </w:rPr>
        <w:t> </w:t>
      </w:r>
      <w:r>
        <w:rPr/>
        <w:t>perspectiva</w:t>
      </w:r>
      <w:r>
        <w:rPr>
          <w:spacing w:val="-5"/>
        </w:rPr>
        <w:t> </w:t>
      </w:r>
      <w:r>
        <w:rPr/>
        <w:t>general</w:t>
      </w:r>
      <w:r>
        <w:rPr>
          <w:spacing w:val="-7"/>
        </w:rPr>
        <w:t> </w:t>
      </w:r>
      <w:r>
        <w:rPr/>
        <w:t>y</w:t>
      </w:r>
      <w:r>
        <w:rPr>
          <w:spacing w:val="-6"/>
        </w:rPr>
        <w:t> </w:t>
      </w:r>
      <w:r>
        <w:rPr/>
        <w:t>el</w:t>
      </w:r>
      <w:r>
        <w:rPr>
          <w:spacing w:val="-5"/>
        </w:rPr>
        <w:t> </w:t>
      </w:r>
      <w:r>
        <w:rPr/>
        <w:t>método</w:t>
      </w:r>
      <w:r>
        <w:rPr>
          <w:spacing w:val="-6"/>
        </w:rPr>
        <w:t> </w:t>
      </w:r>
      <w:r>
        <w:rPr/>
        <w:t>descriptivo correlacional como particular. La indagación fue ejecutada, con un grado correlativo</w:t>
      </w:r>
      <w:r>
        <w:rPr>
          <w:spacing w:val="-8"/>
        </w:rPr>
        <w:t> </w:t>
      </w:r>
      <w:r>
        <w:rPr/>
        <w:t>y</w:t>
      </w:r>
      <w:r>
        <w:rPr>
          <w:spacing w:val="-8"/>
        </w:rPr>
        <w:t> </w:t>
      </w:r>
      <w:r>
        <w:rPr/>
        <w:t>una</w:t>
      </w:r>
      <w:r>
        <w:rPr>
          <w:spacing w:val="-8"/>
        </w:rPr>
        <w:t> </w:t>
      </w:r>
      <w:r>
        <w:rPr/>
        <w:t>estructura</w:t>
      </w:r>
      <w:r>
        <w:rPr>
          <w:spacing w:val="-8"/>
        </w:rPr>
        <w:t> </w:t>
      </w:r>
      <w:r>
        <w:rPr/>
        <w:t>sin</w:t>
      </w:r>
      <w:r>
        <w:rPr>
          <w:spacing w:val="-6"/>
        </w:rPr>
        <w:t> </w:t>
      </w:r>
      <w:r>
        <w:rPr/>
        <w:t>experimentación.</w:t>
      </w:r>
      <w:r>
        <w:rPr>
          <w:spacing w:val="-6"/>
        </w:rPr>
        <w:t> </w:t>
      </w:r>
      <w:r>
        <w:rPr/>
        <w:t>El</w:t>
      </w:r>
      <w:r>
        <w:rPr>
          <w:spacing w:val="-7"/>
        </w:rPr>
        <w:t> </w:t>
      </w:r>
      <w:r>
        <w:rPr/>
        <w:t>conjunto</w:t>
      </w:r>
      <w:r>
        <w:rPr>
          <w:spacing w:val="-6"/>
        </w:rPr>
        <w:t> </w:t>
      </w:r>
      <w:r>
        <w:rPr/>
        <w:t>poblacional</w:t>
      </w:r>
      <w:r>
        <w:rPr>
          <w:spacing w:val="-8"/>
        </w:rPr>
        <w:t> </w:t>
      </w:r>
      <w:r>
        <w:rPr/>
        <w:t>incluyó a</w:t>
      </w:r>
      <w:r>
        <w:rPr>
          <w:spacing w:val="-2"/>
        </w:rPr>
        <w:t> </w:t>
      </w:r>
      <w:r>
        <w:rPr/>
        <w:t>93</w:t>
      </w:r>
      <w:r>
        <w:rPr>
          <w:spacing w:val="-2"/>
        </w:rPr>
        <w:t> </w:t>
      </w:r>
      <w:r>
        <w:rPr/>
        <w:t>empresas,</w:t>
      </w:r>
      <w:r>
        <w:rPr>
          <w:spacing w:val="-2"/>
        </w:rPr>
        <w:t> </w:t>
      </w:r>
      <w:r>
        <w:rPr/>
        <w:t>de</w:t>
      </w:r>
      <w:r>
        <w:rPr>
          <w:spacing w:val="-2"/>
        </w:rPr>
        <w:t> </w:t>
      </w:r>
      <w:r>
        <w:rPr/>
        <w:t>las cuales</w:t>
      </w:r>
      <w:r>
        <w:rPr>
          <w:spacing w:val="-1"/>
        </w:rPr>
        <w:t> </w:t>
      </w:r>
      <w:r>
        <w:rPr/>
        <w:t>se</w:t>
      </w:r>
      <w:r>
        <w:rPr>
          <w:spacing w:val="-2"/>
        </w:rPr>
        <w:t> </w:t>
      </w:r>
      <w:r>
        <w:rPr/>
        <w:t>optó</w:t>
      </w:r>
      <w:r>
        <w:rPr>
          <w:spacing w:val="-2"/>
        </w:rPr>
        <w:t> </w:t>
      </w:r>
      <w:r>
        <w:rPr/>
        <w:t>por</w:t>
      </w:r>
      <w:r>
        <w:rPr>
          <w:spacing w:val="-2"/>
        </w:rPr>
        <w:t> </w:t>
      </w:r>
      <w:r>
        <w:rPr/>
        <w:t>un</w:t>
      </w:r>
      <w:r>
        <w:rPr>
          <w:spacing w:val="-2"/>
        </w:rPr>
        <w:t> </w:t>
      </w:r>
      <w:r>
        <w:rPr/>
        <w:t>conjunto</w:t>
      </w:r>
      <w:r>
        <w:rPr>
          <w:spacing w:val="-2"/>
        </w:rPr>
        <w:t> </w:t>
      </w:r>
      <w:r>
        <w:rPr/>
        <w:t>muestral de</w:t>
      </w:r>
      <w:r>
        <w:rPr>
          <w:spacing w:val="-2"/>
        </w:rPr>
        <w:t> </w:t>
      </w:r>
      <w:r>
        <w:rPr/>
        <w:t>42</w:t>
      </w:r>
      <w:r>
        <w:rPr>
          <w:spacing w:val="-2"/>
        </w:rPr>
        <w:t> </w:t>
      </w:r>
      <w:r>
        <w:rPr/>
        <w:t>empresarios. La técnica de recolección de información consistió en una encuesta con un cuestionario como instrumento. Mediante el índice de asociación de Spearman (r=0,750), los hallazgos revelaron una relación positiva relevante entre la exención del Gravamen General a las Ventas y el aumento empresarial, con un grado de relevancia de α=0,05. Esto señala que, a mayor exención de este gravamen, mayor es el crecimiento empresarial, y viceversa. Se recomienda al órgano</w:t>
      </w:r>
      <w:r>
        <w:rPr>
          <w:spacing w:val="-12"/>
        </w:rPr>
        <w:t> </w:t>
      </w:r>
      <w:r>
        <w:rPr/>
        <w:t>legislativo</w:t>
      </w:r>
      <w:r>
        <w:rPr>
          <w:spacing w:val="-11"/>
        </w:rPr>
        <w:t> </w:t>
      </w:r>
      <w:r>
        <w:rPr/>
        <w:t>realizar</w:t>
      </w:r>
      <w:r>
        <w:rPr>
          <w:spacing w:val="-12"/>
        </w:rPr>
        <w:t> </w:t>
      </w:r>
      <w:r>
        <w:rPr/>
        <w:t>una</w:t>
      </w:r>
      <w:r>
        <w:rPr>
          <w:spacing w:val="-12"/>
        </w:rPr>
        <w:t> </w:t>
      </w:r>
      <w:r>
        <w:rPr/>
        <w:t>investigación</w:t>
      </w:r>
      <w:r>
        <w:rPr>
          <w:spacing w:val="-11"/>
        </w:rPr>
        <w:t> </w:t>
      </w:r>
      <w:r>
        <w:rPr/>
        <w:t>exhaustiva</w:t>
      </w:r>
      <w:r>
        <w:rPr>
          <w:spacing w:val="-12"/>
        </w:rPr>
        <w:t> </w:t>
      </w:r>
      <w:r>
        <w:rPr/>
        <w:t>de</w:t>
      </w:r>
      <w:r>
        <w:rPr>
          <w:spacing w:val="-12"/>
        </w:rPr>
        <w:t> </w:t>
      </w:r>
      <w:r>
        <w:rPr/>
        <w:t>la</w:t>
      </w:r>
      <w:r>
        <w:rPr>
          <w:spacing w:val="-12"/>
        </w:rPr>
        <w:t> </w:t>
      </w:r>
      <w:r>
        <w:rPr/>
        <w:t>normativa</w:t>
      </w:r>
      <w:r>
        <w:rPr>
          <w:spacing w:val="-12"/>
        </w:rPr>
        <w:t> </w:t>
      </w:r>
      <w:r>
        <w:rPr/>
        <w:t>en</w:t>
      </w:r>
      <w:r>
        <w:rPr>
          <w:spacing w:val="-12"/>
        </w:rPr>
        <w:t> </w:t>
      </w:r>
      <w:r>
        <w:rPr/>
        <w:t>cuanto a</w:t>
      </w:r>
      <w:r>
        <w:rPr>
          <w:spacing w:val="-3"/>
        </w:rPr>
        <w:t> </w:t>
      </w:r>
      <w:r>
        <w:rPr/>
        <w:t>su</w:t>
      </w:r>
      <w:r>
        <w:rPr>
          <w:spacing w:val="-3"/>
        </w:rPr>
        <w:t> </w:t>
      </w:r>
      <w:r>
        <w:rPr/>
        <w:t>costo-beneficio,</w:t>
      </w:r>
      <w:r>
        <w:rPr>
          <w:spacing w:val="-2"/>
        </w:rPr>
        <w:t> </w:t>
      </w:r>
      <w:r>
        <w:rPr/>
        <w:t>considerando</w:t>
      </w:r>
      <w:r>
        <w:rPr>
          <w:spacing w:val="-3"/>
        </w:rPr>
        <w:t> </w:t>
      </w:r>
      <w:r>
        <w:rPr/>
        <w:t>su</w:t>
      </w:r>
      <w:r>
        <w:rPr>
          <w:spacing w:val="-2"/>
        </w:rPr>
        <w:t> </w:t>
      </w:r>
      <w:r>
        <w:rPr/>
        <w:t>impacto</w:t>
      </w:r>
      <w:r>
        <w:rPr>
          <w:spacing w:val="-3"/>
        </w:rPr>
        <w:t> </w:t>
      </w:r>
      <w:r>
        <w:rPr/>
        <w:t>en</w:t>
      </w:r>
      <w:r>
        <w:rPr>
          <w:spacing w:val="-3"/>
        </w:rPr>
        <w:t> </w:t>
      </w:r>
      <w:r>
        <w:rPr/>
        <w:t>las</w:t>
      </w:r>
      <w:r>
        <w:rPr>
          <w:spacing w:val="-3"/>
        </w:rPr>
        <w:t> </w:t>
      </w:r>
      <w:r>
        <w:rPr/>
        <w:t>empresas,</w:t>
      </w:r>
      <w:r>
        <w:rPr>
          <w:spacing w:val="-3"/>
        </w:rPr>
        <w:t> </w:t>
      </w:r>
      <w:r>
        <w:rPr/>
        <w:t>los</w:t>
      </w:r>
      <w:r>
        <w:rPr>
          <w:spacing w:val="-3"/>
        </w:rPr>
        <w:t> </w:t>
      </w:r>
      <w:r>
        <w:rPr/>
        <w:t>consumidores y</w:t>
      </w:r>
      <w:r>
        <w:rPr>
          <w:spacing w:val="-15"/>
        </w:rPr>
        <w:t> </w:t>
      </w:r>
      <w:r>
        <w:rPr/>
        <w:t>el</w:t>
      </w:r>
      <w:r>
        <w:rPr>
          <w:spacing w:val="-15"/>
        </w:rPr>
        <w:t> </w:t>
      </w:r>
      <w:r>
        <w:rPr/>
        <w:t>estado,</w:t>
      </w:r>
      <w:r>
        <w:rPr>
          <w:spacing w:val="-15"/>
        </w:rPr>
        <w:t> </w:t>
      </w:r>
      <w:r>
        <w:rPr/>
        <w:t>para</w:t>
      </w:r>
      <w:r>
        <w:rPr>
          <w:spacing w:val="-15"/>
        </w:rPr>
        <w:t> </w:t>
      </w:r>
      <w:r>
        <w:rPr/>
        <w:t>garantizar</w:t>
      </w:r>
      <w:r>
        <w:rPr>
          <w:spacing w:val="-15"/>
        </w:rPr>
        <w:t> </w:t>
      </w:r>
      <w:r>
        <w:rPr/>
        <w:t>que</w:t>
      </w:r>
      <w:r>
        <w:rPr>
          <w:spacing w:val="-15"/>
        </w:rPr>
        <w:t> </w:t>
      </w:r>
      <w:r>
        <w:rPr/>
        <w:t>la</w:t>
      </w:r>
      <w:r>
        <w:rPr>
          <w:spacing w:val="-15"/>
        </w:rPr>
        <w:t> </w:t>
      </w:r>
      <w:r>
        <w:rPr/>
        <w:t>normativa</w:t>
      </w:r>
      <w:r>
        <w:rPr>
          <w:spacing w:val="-15"/>
        </w:rPr>
        <w:t> </w:t>
      </w:r>
      <w:r>
        <w:rPr/>
        <w:t>cumpla</w:t>
      </w:r>
      <w:r>
        <w:rPr>
          <w:spacing w:val="-15"/>
        </w:rPr>
        <w:t> </w:t>
      </w:r>
      <w:r>
        <w:rPr/>
        <w:t>eficazmente</w:t>
      </w:r>
      <w:r>
        <w:rPr>
          <w:spacing w:val="-15"/>
        </w:rPr>
        <w:t> </w:t>
      </w:r>
      <w:r>
        <w:rPr/>
        <w:t>con</w:t>
      </w:r>
      <w:r>
        <w:rPr>
          <w:spacing w:val="-15"/>
        </w:rPr>
        <w:t> </w:t>
      </w:r>
      <w:r>
        <w:rPr/>
        <w:t>sus</w:t>
      </w:r>
      <w:r>
        <w:rPr>
          <w:spacing w:val="-15"/>
        </w:rPr>
        <w:t> </w:t>
      </w:r>
      <w:r>
        <w:rPr/>
        <w:t>objetivos en beneficio del país.</w:t>
      </w:r>
    </w:p>
    <w:p>
      <w:pPr>
        <w:pStyle w:val="BodyText"/>
        <w:spacing w:line="480" w:lineRule="auto" w:before="1"/>
        <w:ind w:left="1135" w:right="992" w:firstLine="720"/>
        <w:jc w:val="both"/>
      </w:pPr>
      <w:r>
        <w:rPr/>
        <w:t>Alfonso y Capcha (2022) desarrollaron la investigación "Evaluaciones socioformativas y financieras de los expendedores de diarios del distrito de Huancayo-2022",</w:t>
      </w:r>
      <w:r>
        <w:rPr>
          <w:spacing w:val="-4"/>
        </w:rPr>
        <w:t> </w:t>
      </w:r>
      <w:r>
        <w:rPr/>
        <w:t>El</w:t>
      </w:r>
      <w:r>
        <w:rPr>
          <w:spacing w:val="-6"/>
        </w:rPr>
        <w:t> </w:t>
      </w:r>
      <w:r>
        <w:rPr/>
        <w:t>fin</w:t>
      </w:r>
      <w:r>
        <w:rPr>
          <w:spacing w:val="-4"/>
        </w:rPr>
        <w:t> </w:t>
      </w:r>
      <w:r>
        <w:rPr/>
        <w:t>de</w:t>
      </w:r>
      <w:r>
        <w:rPr>
          <w:spacing w:val="-6"/>
        </w:rPr>
        <w:t> </w:t>
      </w:r>
      <w:r>
        <w:rPr/>
        <w:t>la</w:t>
      </w:r>
      <w:r>
        <w:rPr>
          <w:spacing w:val="-4"/>
        </w:rPr>
        <w:t> </w:t>
      </w:r>
      <w:r>
        <w:rPr/>
        <w:t>investigación</w:t>
      </w:r>
      <w:r>
        <w:rPr>
          <w:spacing w:val="-4"/>
        </w:rPr>
        <w:t> </w:t>
      </w:r>
      <w:r>
        <w:rPr/>
        <w:t>fue</w:t>
      </w:r>
      <w:r>
        <w:rPr>
          <w:spacing w:val="-4"/>
        </w:rPr>
        <w:t> </w:t>
      </w:r>
      <w:r>
        <w:rPr/>
        <w:t>reconocer</w:t>
      </w:r>
      <w:r>
        <w:rPr>
          <w:spacing w:val="-4"/>
        </w:rPr>
        <w:t> </w:t>
      </w:r>
      <w:r>
        <w:rPr/>
        <w:t>y</w:t>
      </w:r>
      <w:r>
        <w:rPr>
          <w:spacing w:val="-4"/>
        </w:rPr>
        <w:t> </w:t>
      </w:r>
      <w:r>
        <w:rPr/>
        <w:t>detallar</w:t>
      </w:r>
      <w:r>
        <w:rPr>
          <w:spacing w:val="-4"/>
        </w:rPr>
        <w:t> </w:t>
      </w:r>
      <w:r>
        <w:rPr/>
        <w:t>las</w:t>
      </w:r>
      <w:r>
        <w:rPr>
          <w:spacing w:val="-4"/>
        </w:rPr>
        <w:t> </w:t>
      </w:r>
      <w:r>
        <w:rPr/>
        <w:t>opiniones socioformativas y económicas de los expendedores de diarios. Se aplicó un enfoque</w:t>
      </w:r>
      <w:r>
        <w:rPr>
          <w:spacing w:val="-2"/>
        </w:rPr>
        <w:t> </w:t>
      </w:r>
      <w:r>
        <w:rPr/>
        <w:t>descriptivo</w:t>
      </w:r>
      <w:r>
        <w:rPr>
          <w:spacing w:val="1"/>
        </w:rPr>
        <w:t> </w:t>
      </w:r>
      <w:r>
        <w:rPr/>
        <w:t>que</w:t>
      </w:r>
      <w:r>
        <w:rPr>
          <w:spacing w:val="-1"/>
        </w:rPr>
        <w:t> </w:t>
      </w:r>
      <w:r>
        <w:rPr/>
        <w:t>facilitó</w:t>
      </w:r>
      <w:r>
        <w:rPr>
          <w:spacing w:val="-2"/>
        </w:rPr>
        <w:t> </w:t>
      </w:r>
      <w:r>
        <w:rPr/>
        <w:t>una exploración</w:t>
      </w:r>
      <w:r>
        <w:rPr>
          <w:spacing w:val="-1"/>
        </w:rPr>
        <w:t> </w:t>
      </w:r>
      <w:r>
        <w:rPr/>
        <w:t>detallada</w:t>
      </w:r>
      <w:r>
        <w:rPr>
          <w:spacing w:val="-2"/>
        </w:rPr>
        <w:t> </w:t>
      </w:r>
      <w:r>
        <w:rPr/>
        <w:t>de</w:t>
      </w:r>
      <w:r>
        <w:rPr>
          <w:spacing w:val="1"/>
        </w:rPr>
        <w:t> </w:t>
      </w:r>
      <w:r>
        <w:rPr/>
        <w:t>las percepciones </w:t>
      </w:r>
      <w:r>
        <w:rPr>
          <w:spacing w:val="-5"/>
        </w:rPr>
        <w:t>de</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135" w:right="992"/>
        <w:jc w:val="both"/>
      </w:pPr>
      <w:r>
        <w:rPr/>
        <w:t>este grupo. La muestra fue intencional y no probabilística, conformada por 100 comerciantes dinámicos clasificados como informantes clave. En la recopilación de</w:t>
      </w:r>
      <w:r>
        <w:rPr>
          <w:spacing w:val="-9"/>
        </w:rPr>
        <w:t> </w:t>
      </w:r>
      <w:r>
        <w:rPr/>
        <w:t>datos,</w:t>
      </w:r>
      <w:r>
        <w:rPr>
          <w:spacing w:val="-8"/>
        </w:rPr>
        <w:t> </w:t>
      </w:r>
      <w:r>
        <w:rPr/>
        <w:t>se</w:t>
      </w:r>
      <w:r>
        <w:rPr>
          <w:spacing w:val="-8"/>
        </w:rPr>
        <w:t> </w:t>
      </w:r>
      <w:r>
        <w:rPr/>
        <w:t>empleó</w:t>
      </w:r>
      <w:r>
        <w:rPr>
          <w:spacing w:val="-9"/>
        </w:rPr>
        <w:t> </w:t>
      </w:r>
      <w:r>
        <w:rPr/>
        <w:t>un</w:t>
      </w:r>
      <w:r>
        <w:rPr>
          <w:spacing w:val="-9"/>
        </w:rPr>
        <w:t> </w:t>
      </w:r>
      <w:r>
        <w:rPr/>
        <w:t>cuestionario</w:t>
      </w:r>
      <w:r>
        <w:rPr>
          <w:spacing w:val="-9"/>
        </w:rPr>
        <w:t> </w:t>
      </w:r>
      <w:r>
        <w:rPr/>
        <w:t>como</w:t>
      </w:r>
      <w:r>
        <w:rPr>
          <w:spacing w:val="-6"/>
        </w:rPr>
        <w:t> </w:t>
      </w:r>
      <w:r>
        <w:rPr/>
        <w:t>herramienta.</w:t>
      </w:r>
      <w:r>
        <w:rPr>
          <w:spacing w:val="-9"/>
        </w:rPr>
        <w:t> </w:t>
      </w:r>
      <w:r>
        <w:rPr/>
        <w:t>Los</w:t>
      </w:r>
      <w:r>
        <w:rPr>
          <w:spacing w:val="-9"/>
        </w:rPr>
        <w:t> </w:t>
      </w:r>
      <w:r>
        <w:rPr/>
        <w:t>hallazgos</w:t>
      </w:r>
      <w:r>
        <w:rPr>
          <w:spacing w:val="-8"/>
        </w:rPr>
        <w:t> </w:t>
      </w:r>
      <w:r>
        <w:rPr/>
        <w:t>permitieron analizar las distinciones socioeducativas y monetarias entre los comerciantes de diarios, las cuales influyen en sus relaciones laborales y familiares. Además, se subrayó</w:t>
      </w:r>
      <w:r>
        <w:rPr>
          <w:spacing w:val="-4"/>
        </w:rPr>
        <w:t> </w:t>
      </w:r>
      <w:r>
        <w:rPr/>
        <w:t>la</w:t>
      </w:r>
      <w:r>
        <w:rPr>
          <w:spacing w:val="-4"/>
        </w:rPr>
        <w:t> </w:t>
      </w:r>
      <w:r>
        <w:rPr/>
        <w:t>relevancia</w:t>
      </w:r>
      <w:r>
        <w:rPr>
          <w:spacing w:val="-3"/>
        </w:rPr>
        <w:t> </w:t>
      </w:r>
      <w:r>
        <w:rPr/>
        <w:t>de</w:t>
      </w:r>
      <w:r>
        <w:rPr>
          <w:spacing w:val="-4"/>
        </w:rPr>
        <w:t> </w:t>
      </w:r>
      <w:r>
        <w:rPr/>
        <w:t>mantener</w:t>
      </w:r>
      <w:r>
        <w:rPr>
          <w:spacing w:val="-4"/>
        </w:rPr>
        <w:t> </w:t>
      </w:r>
      <w:r>
        <w:rPr/>
        <w:t>diálogos</w:t>
      </w:r>
      <w:r>
        <w:rPr>
          <w:spacing w:val="-4"/>
        </w:rPr>
        <w:t> </w:t>
      </w:r>
      <w:r>
        <w:rPr/>
        <w:t>continuos</w:t>
      </w:r>
      <w:r>
        <w:rPr>
          <w:spacing w:val="-4"/>
        </w:rPr>
        <w:t> </w:t>
      </w:r>
      <w:r>
        <w:rPr/>
        <w:t>para</w:t>
      </w:r>
      <w:r>
        <w:rPr>
          <w:spacing w:val="-4"/>
        </w:rPr>
        <w:t> </w:t>
      </w:r>
      <w:r>
        <w:rPr/>
        <w:t>fomentar</w:t>
      </w:r>
      <w:r>
        <w:rPr>
          <w:spacing w:val="-4"/>
        </w:rPr>
        <w:t> </w:t>
      </w:r>
      <w:r>
        <w:rPr/>
        <w:t>una</w:t>
      </w:r>
      <w:r>
        <w:rPr>
          <w:spacing w:val="-5"/>
        </w:rPr>
        <w:t> </w:t>
      </w:r>
      <w:r>
        <w:rPr/>
        <w:t>armonía en el ámbito laboral y familiar dentro de la organización gremial.</w:t>
      </w:r>
    </w:p>
    <w:p>
      <w:pPr>
        <w:pStyle w:val="BodyText"/>
        <w:spacing w:line="480" w:lineRule="auto" w:before="1"/>
        <w:ind w:left="1135" w:right="989" w:firstLine="720"/>
        <w:jc w:val="both"/>
      </w:pPr>
      <w:r>
        <w:rPr/>
        <w:t>Flores (2021) desarrolló la tesis titulada "Evaluación financiera, comunitaria y ecológica sobre la aplicación de digestores anaerobios autolimpiables en el asentamiento de Limón-Frías-Ayabaca-Piura". Aunque los biodigestores son una tecnología en desarrollo desde hace varios años, su conocimiento</w:t>
      </w:r>
      <w:r>
        <w:rPr>
          <w:spacing w:val="-3"/>
        </w:rPr>
        <w:t> </w:t>
      </w:r>
      <w:r>
        <w:rPr/>
        <w:t>es</w:t>
      </w:r>
      <w:r>
        <w:rPr>
          <w:spacing w:val="-3"/>
        </w:rPr>
        <w:t> </w:t>
      </w:r>
      <w:r>
        <w:rPr/>
        <w:t>relativamente</w:t>
      </w:r>
      <w:r>
        <w:rPr>
          <w:spacing w:val="-3"/>
        </w:rPr>
        <w:t> </w:t>
      </w:r>
      <w:r>
        <w:rPr/>
        <w:t>limitado</w:t>
      </w:r>
      <w:r>
        <w:rPr>
          <w:spacing w:val="-3"/>
        </w:rPr>
        <w:t> </w:t>
      </w:r>
      <w:r>
        <w:rPr/>
        <w:t>entre</w:t>
      </w:r>
      <w:r>
        <w:rPr>
          <w:spacing w:val="-3"/>
        </w:rPr>
        <w:t> </w:t>
      </w:r>
      <w:r>
        <w:rPr/>
        <w:t>la</w:t>
      </w:r>
      <w:r>
        <w:rPr>
          <w:spacing w:val="-4"/>
        </w:rPr>
        <w:t> </w:t>
      </w:r>
      <w:r>
        <w:rPr/>
        <w:t>población</w:t>
      </w:r>
      <w:r>
        <w:rPr>
          <w:spacing w:val="-3"/>
        </w:rPr>
        <w:t> </w:t>
      </w:r>
      <w:r>
        <w:rPr/>
        <w:t>general.</w:t>
      </w:r>
      <w:r>
        <w:rPr>
          <w:spacing w:val="-4"/>
        </w:rPr>
        <w:t> </w:t>
      </w:r>
      <w:r>
        <w:rPr/>
        <w:t>Los</w:t>
      </w:r>
      <w:r>
        <w:rPr>
          <w:spacing w:val="-3"/>
        </w:rPr>
        <w:t> </w:t>
      </w:r>
      <w:r>
        <w:rPr/>
        <w:t>pequeños productores rurales y sus familias frecuentemente enfrentan la falta de apoyo estatal, lo que genera múltiples carencias en necesidades básicas. Un ejemplo de esta situación se observa en el asentamiento de Limón, donde hace un año se implementaron sistemas de digestores anaerobios autolimpables. Por esta razón, se</w:t>
      </w:r>
      <w:r>
        <w:rPr>
          <w:spacing w:val="-5"/>
        </w:rPr>
        <w:t> </w:t>
      </w:r>
      <w:r>
        <w:rPr/>
        <w:t>consideró</w:t>
      </w:r>
      <w:r>
        <w:rPr>
          <w:spacing w:val="-5"/>
        </w:rPr>
        <w:t> </w:t>
      </w:r>
      <w:r>
        <w:rPr/>
        <w:t>fundamental</w:t>
      </w:r>
      <w:r>
        <w:rPr>
          <w:spacing w:val="-5"/>
        </w:rPr>
        <w:t> </w:t>
      </w:r>
      <w:r>
        <w:rPr/>
        <w:t>realizar</w:t>
      </w:r>
      <w:r>
        <w:rPr>
          <w:spacing w:val="-3"/>
        </w:rPr>
        <w:t> </w:t>
      </w:r>
      <w:r>
        <w:rPr/>
        <w:t>un</w:t>
      </w:r>
      <w:r>
        <w:rPr>
          <w:spacing w:val="-5"/>
        </w:rPr>
        <w:t> </w:t>
      </w:r>
      <w:r>
        <w:rPr/>
        <w:t>seguimiento</w:t>
      </w:r>
      <w:r>
        <w:rPr>
          <w:spacing w:val="-6"/>
        </w:rPr>
        <w:t> </w:t>
      </w:r>
      <w:r>
        <w:rPr/>
        <w:t>y</w:t>
      </w:r>
      <w:r>
        <w:rPr>
          <w:spacing w:val="-4"/>
        </w:rPr>
        <w:t> </w:t>
      </w:r>
      <w:r>
        <w:rPr/>
        <w:t>evaluación</w:t>
      </w:r>
      <w:r>
        <w:rPr>
          <w:spacing w:val="-4"/>
        </w:rPr>
        <w:t> </w:t>
      </w:r>
      <w:r>
        <w:rPr/>
        <w:t>de</w:t>
      </w:r>
      <w:r>
        <w:rPr>
          <w:spacing w:val="-3"/>
        </w:rPr>
        <w:t> </w:t>
      </w:r>
      <w:r>
        <w:rPr/>
        <w:t>estos</w:t>
      </w:r>
      <w:r>
        <w:rPr>
          <w:spacing w:val="-5"/>
        </w:rPr>
        <w:t> </w:t>
      </w:r>
      <w:r>
        <w:rPr/>
        <w:t>sistemas. La investigación tuvo como objetivo analizar el desempeño de los digestores anaerobios autolimpiables en los módulos fundamentales de higiene para el manejo de efluentes domésticos en el caserío de Limón ubicado en el distrito de Frías, provincia de Ayabaca, de Piura, de una visión económica, social y ecológica. La evaluación incluyó a 25 beneficiarios a través de sondeos y un formulario técnico. Los resultados permitieron concluir que los digestores anaerobios autolimpables son efectivos, sostenibles y bien recibidos por la comunidad de este caserío.</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135" w:right="988" w:firstLine="720"/>
        <w:jc w:val="both"/>
      </w:pPr>
      <w:r>
        <w:rPr/>
        <w:t>Mostacero</w:t>
      </w:r>
      <w:r>
        <w:rPr>
          <w:spacing w:val="-13"/>
        </w:rPr>
        <w:t> </w:t>
      </w:r>
      <w:r>
        <w:rPr/>
        <w:t>(2020)</w:t>
      </w:r>
      <w:r>
        <w:rPr>
          <w:spacing w:val="-13"/>
        </w:rPr>
        <w:t> </w:t>
      </w:r>
      <w:r>
        <w:rPr/>
        <w:t>realizó</w:t>
      </w:r>
      <w:r>
        <w:rPr>
          <w:spacing w:val="-12"/>
        </w:rPr>
        <w:t> </w:t>
      </w:r>
      <w:r>
        <w:rPr/>
        <w:t>la</w:t>
      </w:r>
      <w:r>
        <w:rPr>
          <w:spacing w:val="-13"/>
        </w:rPr>
        <w:t> </w:t>
      </w:r>
      <w:r>
        <w:rPr/>
        <w:t>investigación</w:t>
      </w:r>
      <w:r>
        <w:rPr>
          <w:spacing w:val="-12"/>
        </w:rPr>
        <w:t> </w:t>
      </w:r>
      <w:r>
        <w:rPr/>
        <w:t>titulada</w:t>
      </w:r>
      <w:r>
        <w:rPr>
          <w:spacing w:val="-12"/>
        </w:rPr>
        <w:t> </w:t>
      </w:r>
      <w:r>
        <w:rPr/>
        <w:t>"Falta</w:t>
      </w:r>
      <w:r>
        <w:rPr>
          <w:spacing w:val="-13"/>
        </w:rPr>
        <w:t> </w:t>
      </w:r>
      <w:r>
        <w:rPr/>
        <w:t>de</w:t>
      </w:r>
      <w:r>
        <w:rPr>
          <w:spacing w:val="-12"/>
        </w:rPr>
        <w:t> </w:t>
      </w:r>
      <w:r>
        <w:rPr/>
        <w:t>Formalidad</w:t>
      </w:r>
      <w:r>
        <w:rPr>
          <w:spacing w:val="-14"/>
        </w:rPr>
        <w:t> </w:t>
      </w:r>
      <w:r>
        <w:rPr/>
        <w:t>en las</w:t>
      </w:r>
      <w:r>
        <w:rPr>
          <w:spacing w:val="-11"/>
        </w:rPr>
        <w:t> </w:t>
      </w:r>
      <w:r>
        <w:rPr/>
        <w:t>Mypes</w:t>
      </w:r>
      <w:r>
        <w:rPr>
          <w:spacing w:val="-11"/>
        </w:rPr>
        <w:t> </w:t>
      </w:r>
      <w:r>
        <w:rPr/>
        <w:t>y</w:t>
      </w:r>
      <w:r>
        <w:rPr>
          <w:spacing w:val="-14"/>
        </w:rPr>
        <w:t> </w:t>
      </w:r>
      <w:r>
        <w:rPr/>
        <w:t>su</w:t>
      </w:r>
      <w:r>
        <w:rPr>
          <w:spacing w:val="-11"/>
        </w:rPr>
        <w:t> </w:t>
      </w:r>
      <w:r>
        <w:rPr/>
        <w:t>Impacto</w:t>
      </w:r>
      <w:r>
        <w:rPr>
          <w:spacing w:val="-11"/>
        </w:rPr>
        <w:t> </w:t>
      </w:r>
      <w:r>
        <w:rPr/>
        <w:t>en</w:t>
      </w:r>
      <w:r>
        <w:rPr>
          <w:spacing w:val="-12"/>
        </w:rPr>
        <w:t> </w:t>
      </w:r>
      <w:r>
        <w:rPr/>
        <w:t>la</w:t>
      </w:r>
      <w:r>
        <w:rPr>
          <w:spacing w:val="-13"/>
        </w:rPr>
        <w:t> </w:t>
      </w:r>
      <w:r>
        <w:rPr/>
        <w:t>Recolección</w:t>
      </w:r>
      <w:r>
        <w:rPr>
          <w:spacing w:val="-10"/>
        </w:rPr>
        <w:t> </w:t>
      </w:r>
      <w:r>
        <w:rPr/>
        <w:t>del</w:t>
      </w:r>
      <w:r>
        <w:rPr>
          <w:spacing w:val="-11"/>
        </w:rPr>
        <w:t> </w:t>
      </w:r>
      <w:r>
        <w:rPr/>
        <w:t>Gravamen</w:t>
      </w:r>
      <w:r>
        <w:rPr>
          <w:spacing w:val="-12"/>
        </w:rPr>
        <w:t> </w:t>
      </w:r>
      <w:r>
        <w:rPr/>
        <w:t>General</w:t>
      </w:r>
      <w:r>
        <w:rPr>
          <w:spacing w:val="-12"/>
        </w:rPr>
        <w:t> </w:t>
      </w:r>
      <w:r>
        <w:rPr/>
        <w:t>sobre</w:t>
      </w:r>
      <w:r>
        <w:rPr>
          <w:spacing w:val="-12"/>
        </w:rPr>
        <w:t> </w:t>
      </w:r>
      <w:r>
        <w:rPr/>
        <w:t>las</w:t>
      </w:r>
      <w:r>
        <w:rPr>
          <w:spacing w:val="-11"/>
        </w:rPr>
        <w:t> </w:t>
      </w:r>
      <w:r>
        <w:rPr/>
        <w:t>Ventas en el Perú ". Este estudio evidenció cómo la falta de formalidad en las micro y pequeñas</w:t>
      </w:r>
      <w:r>
        <w:rPr>
          <w:spacing w:val="-6"/>
        </w:rPr>
        <w:t> </w:t>
      </w:r>
      <w:r>
        <w:rPr/>
        <w:t>compañías</w:t>
      </w:r>
      <w:r>
        <w:rPr>
          <w:spacing w:val="-4"/>
        </w:rPr>
        <w:t> </w:t>
      </w:r>
      <w:r>
        <w:rPr/>
        <w:t>(Mypes)</w:t>
      </w:r>
      <w:r>
        <w:rPr>
          <w:spacing w:val="-6"/>
        </w:rPr>
        <w:t> </w:t>
      </w:r>
      <w:r>
        <w:rPr/>
        <w:t>impacta</w:t>
      </w:r>
      <w:r>
        <w:rPr>
          <w:spacing w:val="-7"/>
        </w:rPr>
        <w:t> </w:t>
      </w:r>
      <w:r>
        <w:rPr/>
        <w:t>en</w:t>
      </w:r>
      <w:r>
        <w:rPr>
          <w:spacing w:val="-5"/>
        </w:rPr>
        <w:t> </w:t>
      </w:r>
      <w:r>
        <w:rPr/>
        <w:t>la</w:t>
      </w:r>
      <w:r>
        <w:rPr>
          <w:spacing w:val="-7"/>
        </w:rPr>
        <w:t> </w:t>
      </w:r>
      <w:r>
        <w:rPr/>
        <w:t>recolección</w:t>
      </w:r>
      <w:r>
        <w:rPr>
          <w:spacing w:val="-7"/>
        </w:rPr>
        <w:t> </w:t>
      </w:r>
      <w:r>
        <w:rPr/>
        <w:t>del</w:t>
      </w:r>
      <w:r>
        <w:rPr>
          <w:spacing w:val="-7"/>
        </w:rPr>
        <w:t> </w:t>
      </w:r>
      <w:r>
        <w:rPr/>
        <w:t>IGV</w:t>
      </w:r>
      <w:r>
        <w:rPr>
          <w:spacing w:val="-6"/>
        </w:rPr>
        <w:t> </w:t>
      </w:r>
      <w:r>
        <w:rPr/>
        <w:t>durante</w:t>
      </w:r>
      <w:r>
        <w:rPr>
          <w:spacing w:val="-7"/>
        </w:rPr>
        <w:t> </w:t>
      </w:r>
      <w:r>
        <w:rPr/>
        <w:t>el</w:t>
      </w:r>
      <w:r>
        <w:rPr>
          <w:spacing w:val="-7"/>
        </w:rPr>
        <w:t> </w:t>
      </w:r>
      <w:r>
        <w:rPr/>
        <w:t>2013- 2017, resaltando su efecto negativo en los ingresos fiscales. El estudio aplicó un diseño sin experimentación transaccional y se clasifica como correlacional negativa respecto a las variables examinadas. Para el análisis, se recurrió a datos oficiales de entidades como el</w:t>
      </w:r>
      <w:r>
        <w:rPr>
          <w:spacing w:val="-1"/>
        </w:rPr>
        <w:t> </w:t>
      </w:r>
      <w:r>
        <w:rPr/>
        <w:t>Ministerio de Desarrollo, el</w:t>
      </w:r>
      <w:r>
        <w:rPr>
          <w:spacing w:val="-1"/>
        </w:rPr>
        <w:t> </w:t>
      </w:r>
      <w:r>
        <w:rPr/>
        <w:t>Ministerio de Trabajo y SUNAT. Los resultados revelaron una relación estadísticamente significativa entre</w:t>
      </w:r>
      <w:r>
        <w:rPr>
          <w:spacing w:val="-7"/>
        </w:rPr>
        <w:t> </w:t>
      </w:r>
      <w:r>
        <w:rPr/>
        <w:t>la</w:t>
      </w:r>
      <w:r>
        <w:rPr>
          <w:spacing w:val="-7"/>
        </w:rPr>
        <w:t> </w:t>
      </w:r>
      <w:r>
        <w:rPr/>
        <w:t>falta</w:t>
      </w:r>
      <w:r>
        <w:rPr>
          <w:spacing w:val="-8"/>
        </w:rPr>
        <w:t> </w:t>
      </w:r>
      <w:r>
        <w:rPr/>
        <w:t>de</w:t>
      </w:r>
      <w:r>
        <w:rPr>
          <w:spacing w:val="-7"/>
        </w:rPr>
        <w:t> </w:t>
      </w:r>
      <w:r>
        <w:rPr/>
        <w:t>formalidad</w:t>
      </w:r>
      <w:r>
        <w:rPr>
          <w:spacing w:val="-7"/>
        </w:rPr>
        <w:t> </w:t>
      </w:r>
      <w:r>
        <w:rPr/>
        <w:t>de</w:t>
      </w:r>
      <w:r>
        <w:rPr>
          <w:spacing w:val="-7"/>
        </w:rPr>
        <w:t> </w:t>
      </w:r>
      <w:r>
        <w:rPr/>
        <w:t>las</w:t>
      </w:r>
      <w:r>
        <w:rPr>
          <w:spacing w:val="-6"/>
        </w:rPr>
        <w:t> </w:t>
      </w:r>
      <w:r>
        <w:rPr/>
        <w:t>Mypes</w:t>
      </w:r>
      <w:r>
        <w:rPr>
          <w:spacing w:val="-4"/>
        </w:rPr>
        <w:t> </w:t>
      </w:r>
      <w:r>
        <w:rPr/>
        <w:t>y</w:t>
      </w:r>
      <w:r>
        <w:rPr>
          <w:spacing w:val="-7"/>
        </w:rPr>
        <w:t> </w:t>
      </w:r>
      <w:r>
        <w:rPr/>
        <w:t>la</w:t>
      </w:r>
      <w:r>
        <w:rPr>
          <w:spacing w:val="-8"/>
        </w:rPr>
        <w:t> </w:t>
      </w:r>
      <w:r>
        <w:rPr/>
        <w:t>recolección</w:t>
      </w:r>
      <w:r>
        <w:rPr>
          <w:spacing w:val="-7"/>
        </w:rPr>
        <w:t> </w:t>
      </w:r>
      <w:r>
        <w:rPr/>
        <w:t>del</w:t>
      </w:r>
      <w:r>
        <w:rPr>
          <w:spacing w:val="-7"/>
        </w:rPr>
        <w:t> </w:t>
      </w:r>
      <w:r>
        <w:rPr/>
        <w:t>IGV</w:t>
      </w:r>
      <w:r>
        <w:rPr>
          <w:spacing w:val="-5"/>
        </w:rPr>
        <w:t> </w:t>
      </w:r>
      <w:r>
        <w:rPr/>
        <w:t>en</w:t>
      </w:r>
      <w:r>
        <w:rPr>
          <w:spacing w:val="-7"/>
        </w:rPr>
        <w:t> </w:t>
      </w:r>
      <w:r>
        <w:rPr/>
        <w:t>ese</w:t>
      </w:r>
      <w:r>
        <w:rPr>
          <w:spacing w:val="-7"/>
        </w:rPr>
        <w:t> </w:t>
      </w:r>
      <w:r>
        <w:rPr/>
        <w:t>período. En</w:t>
      </w:r>
      <w:r>
        <w:rPr>
          <w:spacing w:val="-6"/>
        </w:rPr>
        <w:t> </w:t>
      </w:r>
      <w:r>
        <w:rPr/>
        <w:t>conclusión,</w:t>
      </w:r>
      <w:r>
        <w:rPr>
          <w:spacing w:val="-6"/>
        </w:rPr>
        <w:t> </w:t>
      </w:r>
      <w:r>
        <w:rPr/>
        <w:t>la</w:t>
      </w:r>
      <w:r>
        <w:rPr>
          <w:spacing w:val="-6"/>
        </w:rPr>
        <w:t> </w:t>
      </w:r>
      <w:r>
        <w:rPr/>
        <w:t>falta</w:t>
      </w:r>
      <w:r>
        <w:rPr>
          <w:spacing w:val="-6"/>
        </w:rPr>
        <w:t> </w:t>
      </w:r>
      <w:r>
        <w:rPr/>
        <w:t>de</w:t>
      </w:r>
      <w:r>
        <w:rPr>
          <w:spacing w:val="-6"/>
        </w:rPr>
        <w:t> </w:t>
      </w:r>
      <w:r>
        <w:rPr/>
        <w:t>formalidad</w:t>
      </w:r>
      <w:r>
        <w:rPr>
          <w:spacing w:val="-6"/>
        </w:rPr>
        <w:t> </w:t>
      </w:r>
      <w:r>
        <w:rPr/>
        <w:t>de</w:t>
      </w:r>
      <w:r>
        <w:rPr>
          <w:spacing w:val="-6"/>
        </w:rPr>
        <w:t> </w:t>
      </w:r>
      <w:r>
        <w:rPr/>
        <w:t>las</w:t>
      </w:r>
      <w:r>
        <w:rPr>
          <w:spacing w:val="-5"/>
        </w:rPr>
        <w:t> </w:t>
      </w:r>
      <w:r>
        <w:rPr/>
        <w:t>Mypes.</w:t>
      </w:r>
      <w:r>
        <w:rPr>
          <w:spacing w:val="-5"/>
        </w:rPr>
        <w:t> </w:t>
      </w:r>
      <w:r>
        <w:rPr/>
        <w:t>influye</w:t>
      </w:r>
      <w:r>
        <w:rPr>
          <w:spacing w:val="-7"/>
        </w:rPr>
        <w:t> </w:t>
      </w:r>
      <w:r>
        <w:rPr/>
        <w:t>considerablemente</w:t>
      </w:r>
      <w:r>
        <w:rPr>
          <w:spacing w:val="-3"/>
        </w:rPr>
        <w:t> </w:t>
      </w:r>
      <w:r>
        <w:rPr/>
        <w:t>en la recolección del IGV y restringe los ingresos fiscales del gobierno nacional, dificultando la expansión de la base fiscal. Además, la persistente informalidad representa</w:t>
      </w:r>
      <w:r>
        <w:rPr>
          <w:spacing w:val="-15"/>
        </w:rPr>
        <w:t> </w:t>
      </w:r>
      <w:r>
        <w:rPr/>
        <w:t>un</w:t>
      </w:r>
      <w:r>
        <w:rPr>
          <w:spacing w:val="-15"/>
        </w:rPr>
        <w:t> </w:t>
      </w:r>
      <w:r>
        <w:rPr/>
        <w:t>desafío</w:t>
      </w:r>
      <w:r>
        <w:rPr>
          <w:spacing w:val="-15"/>
        </w:rPr>
        <w:t> </w:t>
      </w:r>
      <w:r>
        <w:rPr/>
        <w:t>que</w:t>
      </w:r>
      <w:r>
        <w:rPr>
          <w:spacing w:val="-15"/>
        </w:rPr>
        <w:t> </w:t>
      </w:r>
      <w:r>
        <w:rPr/>
        <w:t>el</w:t>
      </w:r>
      <w:r>
        <w:rPr>
          <w:spacing w:val="-15"/>
        </w:rPr>
        <w:t> </w:t>
      </w:r>
      <w:r>
        <w:rPr/>
        <w:t>gobierno</w:t>
      </w:r>
      <w:r>
        <w:rPr>
          <w:spacing w:val="-15"/>
        </w:rPr>
        <w:t> </w:t>
      </w:r>
      <w:r>
        <w:rPr/>
        <w:t>aún</w:t>
      </w:r>
      <w:r>
        <w:rPr>
          <w:spacing w:val="-15"/>
        </w:rPr>
        <w:t> </w:t>
      </w:r>
      <w:r>
        <w:rPr/>
        <w:t>no</w:t>
      </w:r>
      <w:r>
        <w:rPr>
          <w:spacing w:val="-15"/>
        </w:rPr>
        <w:t> </w:t>
      </w:r>
      <w:r>
        <w:rPr/>
        <w:t>ha</w:t>
      </w:r>
      <w:r>
        <w:rPr>
          <w:spacing w:val="-15"/>
        </w:rPr>
        <w:t> </w:t>
      </w:r>
      <w:r>
        <w:rPr/>
        <w:t>logrado</w:t>
      </w:r>
      <w:r>
        <w:rPr>
          <w:spacing w:val="-15"/>
        </w:rPr>
        <w:t> </w:t>
      </w:r>
      <w:r>
        <w:rPr/>
        <w:t>resolver;</w:t>
      </w:r>
      <w:r>
        <w:rPr>
          <w:spacing w:val="-15"/>
        </w:rPr>
        <w:t> </w:t>
      </w:r>
      <w:r>
        <w:rPr/>
        <w:t>las</w:t>
      </w:r>
      <w:r>
        <w:rPr>
          <w:spacing w:val="-15"/>
        </w:rPr>
        <w:t> </w:t>
      </w:r>
      <w:r>
        <w:rPr/>
        <w:t>cifras</w:t>
      </w:r>
      <w:r>
        <w:rPr>
          <w:spacing w:val="-15"/>
        </w:rPr>
        <w:t> </w:t>
      </w:r>
      <w:r>
        <w:rPr/>
        <w:t>revelan que las Mypes informales son más numerosas que las formales. Aunque estas empresas generan empleo, también producen distorsiones que obstaculizan el desarrollo sostenible del país.</w:t>
      </w:r>
    </w:p>
    <w:p>
      <w:pPr>
        <w:pStyle w:val="Heading4"/>
        <w:numPr>
          <w:ilvl w:val="2"/>
          <w:numId w:val="10"/>
        </w:numPr>
        <w:tabs>
          <w:tab w:pos="1033" w:val="left" w:leader="none"/>
        </w:tabs>
        <w:spacing w:line="240" w:lineRule="auto" w:before="2" w:after="0"/>
        <w:ind w:left="1033" w:right="0" w:hanging="606"/>
        <w:jc w:val="both"/>
      </w:pPr>
      <w:bookmarkStart w:name="_bookmark27" w:id="28"/>
      <w:bookmarkEnd w:id="28"/>
      <w:r>
        <w:rPr>
          <w:b w:val="0"/>
          <w:i w:val="0"/>
        </w:rPr>
      </w:r>
      <w:r>
        <w:rPr/>
        <w:t>A</w:t>
      </w:r>
      <w:r>
        <w:rPr>
          <w:spacing w:val="-1"/>
        </w:rPr>
        <w:t> </w:t>
      </w:r>
      <w:r>
        <w:rPr/>
        <w:t>nivel</w:t>
      </w:r>
      <w:r>
        <w:rPr>
          <w:spacing w:val="-2"/>
        </w:rPr>
        <w:t> local</w:t>
      </w:r>
    </w:p>
    <w:p>
      <w:pPr>
        <w:pStyle w:val="BodyText"/>
        <w:rPr>
          <w:b/>
          <w:i/>
        </w:rPr>
      </w:pPr>
    </w:p>
    <w:p>
      <w:pPr>
        <w:pStyle w:val="BodyText"/>
        <w:spacing w:line="480" w:lineRule="auto"/>
        <w:ind w:left="1135" w:right="995" w:firstLine="720"/>
        <w:jc w:val="both"/>
      </w:pPr>
      <w:r>
        <w:rPr/>
        <w:t>No se tiene antecedentes con la variable de investigación; sin embargo, presentamos antecedentes que están relacionadas directa o indirectamente con la </w:t>
      </w:r>
      <w:r>
        <w:rPr>
          <w:spacing w:val="-2"/>
        </w:rPr>
        <w:t>variable.</w:t>
      </w:r>
    </w:p>
    <w:p>
      <w:pPr>
        <w:pStyle w:val="BodyText"/>
        <w:spacing w:line="480" w:lineRule="auto"/>
        <w:ind w:left="1135" w:right="990" w:firstLine="720"/>
        <w:jc w:val="both"/>
      </w:pPr>
      <w:r>
        <w:rPr/>
        <w:t>Quico (2023) desarrolló la investigación titulada</w:t>
      </w:r>
      <w:r>
        <w:rPr>
          <w:spacing w:val="-1"/>
        </w:rPr>
        <w:t> </w:t>
      </w:r>
      <w:r>
        <w:rPr/>
        <w:t>"Los ingresos per cápita y</w:t>
      </w:r>
      <w:r>
        <w:rPr>
          <w:spacing w:val="-15"/>
        </w:rPr>
        <w:t> </w:t>
      </w:r>
      <w:r>
        <w:rPr/>
        <w:t>su</w:t>
      </w:r>
      <w:r>
        <w:rPr>
          <w:spacing w:val="-15"/>
        </w:rPr>
        <w:t> </w:t>
      </w:r>
      <w:r>
        <w:rPr/>
        <w:t>incidencia</w:t>
      </w:r>
      <w:r>
        <w:rPr>
          <w:spacing w:val="-15"/>
        </w:rPr>
        <w:t> </w:t>
      </w:r>
      <w:r>
        <w:rPr/>
        <w:t>en</w:t>
      </w:r>
      <w:r>
        <w:rPr>
          <w:spacing w:val="-15"/>
        </w:rPr>
        <w:t> </w:t>
      </w:r>
      <w:r>
        <w:rPr/>
        <w:t>la</w:t>
      </w:r>
      <w:r>
        <w:rPr>
          <w:spacing w:val="-15"/>
        </w:rPr>
        <w:t> </w:t>
      </w:r>
      <w:r>
        <w:rPr/>
        <w:t>recaudación</w:t>
      </w:r>
      <w:r>
        <w:rPr>
          <w:spacing w:val="-15"/>
        </w:rPr>
        <w:t> </w:t>
      </w:r>
      <w:r>
        <w:rPr/>
        <w:t>del</w:t>
      </w:r>
      <w:r>
        <w:rPr>
          <w:spacing w:val="-15"/>
        </w:rPr>
        <w:t> </w:t>
      </w:r>
      <w:r>
        <w:rPr/>
        <w:t>tributo</w:t>
      </w:r>
      <w:r>
        <w:rPr>
          <w:spacing w:val="-15"/>
        </w:rPr>
        <w:t> </w:t>
      </w:r>
      <w:r>
        <w:rPr/>
        <w:t>sobre</w:t>
      </w:r>
      <w:r>
        <w:rPr>
          <w:spacing w:val="-15"/>
        </w:rPr>
        <w:t> </w:t>
      </w:r>
      <w:r>
        <w:rPr/>
        <w:t>el</w:t>
      </w:r>
      <w:r>
        <w:rPr>
          <w:spacing w:val="-15"/>
        </w:rPr>
        <w:t> </w:t>
      </w:r>
      <w:r>
        <w:rPr/>
        <w:t>ingreso</w:t>
      </w:r>
      <w:r>
        <w:rPr>
          <w:spacing w:val="-15"/>
        </w:rPr>
        <w:t> </w:t>
      </w:r>
      <w:r>
        <w:rPr/>
        <w:t>y</w:t>
      </w:r>
      <w:r>
        <w:rPr>
          <w:spacing w:val="-15"/>
        </w:rPr>
        <w:t> </w:t>
      </w:r>
      <w:r>
        <w:rPr/>
        <w:t>el</w:t>
      </w:r>
      <w:r>
        <w:rPr>
          <w:spacing w:val="-15"/>
        </w:rPr>
        <w:t> </w:t>
      </w:r>
      <w:r>
        <w:rPr/>
        <w:t>gravamen</w:t>
      </w:r>
      <w:r>
        <w:rPr>
          <w:spacing w:val="-15"/>
        </w:rPr>
        <w:t> </w:t>
      </w:r>
      <w:r>
        <w:rPr/>
        <w:t>general sobre las ventas en los distritos del sur del Perú, 2020-2021" El objetivo del estudio</w:t>
      </w:r>
      <w:r>
        <w:rPr>
          <w:spacing w:val="25"/>
        </w:rPr>
        <w:t> </w:t>
      </w:r>
      <w:r>
        <w:rPr/>
        <w:t>es</w:t>
      </w:r>
      <w:r>
        <w:rPr>
          <w:spacing w:val="26"/>
        </w:rPr>
        <w:t> </w:t>
      </w:r>
      <w:r>
        <w:rPr/>
        <w:t>evaluar</w:t>
      </w:r>
      <w:r>
        <w:rPr>
          <w:spacing w:val="26"/>
        </w:rPr>
        <w:t> </w:t>
      </w:r>
      <w:r>
        <w:rPr/>
        <w:t>cómo</w:t>
      </w:r>
      <w:r>
        <w:rPr>
          <w:spacing w:val="26"/>
        </w:rPr>
        <w:t> </w:t>
      </w:r>
      <w:r>
        <w:rPr/>
        <w:t>los</w:t>
      </w:r>
      <w:r>
        <w:rPr>
          <w:spacing w:val="27"/>
        </w:rPr>
        <w:t> </w:t>
      </w:r>
      <w:r>
        <w:rPr/>
        <w:t>ingresos</w:t>
      </w:r>
      <w:r>
        <w:rPr>
          <w:spacing w:val="26"/>
        </w:rPr>
        <w:t> </w:t>
      </w:r>
      <w:r>
        <w:rPr/>
        <w:t>per</w:t>
      </w:r>
      <w:r>
        <w:rPr>
          <w:spacing w:val="26"/>
        </w:rPr>
        <w:t> </w:t>
      </w:r>
      <w:r>
        <w:rPr/>
        <w:t>cápita</w:t>
      </w:r>
      <w:r>
        <w:rPr>
          <w:spacing w:val="25"/>
        </w:rPr>
        <w:t> </w:t>
      </w:r>
      <w:r>
        <w:rPr/>
        <w:t>influyen</w:t>
      </w:r>
      <w:r>
        <w:rPr>
          <w:spacing w:val="26"/>
        </w:rPr>
        <w:t> </w:t>
      </w:r>
      <w:r>
        <w:rPr/>
        <w:t>en</w:t>
      </w:r>
      <w:r>
        <w:rPr>
          <w:spacing w:val="28"/>
        </w:rPr>
        <w:t> </w:t>
      </w:r>
      <w:r>
        <w:rPr/>
        <w:t>la</w:t>
      </w:r>
      <w:r>
        <w:rPr>
          <w:spacing w:val="25"/>
        </w:rPr>
        <w:t> </w:t>
      </w:r>
      <w:r>
        <w:rPr/>
        <w:t>recaudación</w:t>
      </w:r>
      <w:r>
        <w:rPr>
          <w:spacing w:val="26"/>
        </w:rPr>
        <w:t> </w:t>
      </w:r>
      <w:r>
        <w:rPr>
          <w:spacing w:val="-5"/>
        </w:rPr>
        <w:t>del</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135" w:right="989"/>
        <w:jc w:val="both"/>
      </w:pPr>
      <w:r>
        <w:rPr/>
        <w:t>impuesto</w:t>
      </w:r>
      <w:r>
        <w:rPr>
          <w:spacing w:val="-3"/>
        </w:rPr>
        <w:t> </w:t>
      </w:r>
      <w:r>
        <w:rPr/>
        <w:t>a</w:t>
      </w:r>
      <w:r>
        <w:rPr>
          <w:spacing w:val="-5"/>
        </w:rPr>
        <w:t> </w:t>
      </w:r>
      <w:r>
        <w:rPr/>
        <w:t>la</w:t>
      </w:r>
      <w:r>
        <w:rPr>
          <w:spacing w:val="-3"/>
        </w:rPr>
        <w:t> </w:t>
      </w:r>
      <w:r>
        <w:rPr/>
        <w:t>renta</w:t>
      </w:r>
      <w:r>
        <w:rPr>
          <w:spacing w:val="-3"/>
        </w:rPr>
        <w:t> </w:t>
      </w:r>
      <w:r>
        <w:rPr/>
        <w:t>y</w:t>
      </w:r>
      <w:r>
        <w:rPr>
          <w:spacing w:val="-2"/>
        </w:rPr>
        <w:t> </w:t>
      </w:r>
      <w:r>
        <w:rPr/>
        <w:t>del</w:t>
      </w:r>
      <w:r>
        <w:rPr>
          <w:spacing w:val="-5"/>
        </w:rPr>
        <w:t> </w:t>
      </w:r>
      <w:r>
        <w:rPr/>
        <w:t>gravamen</w:t>
      </w:r>
      <w:r>
        <w:rPr>
          <w:spacing w:val="-3"/>
        </w:rPr>
        <w:t> </w:t>
      </w:r>
      <w:r>
        <w:rPr/>
        <w:t>general</w:t>
      </w:r>
      <w:r>
        <w:rPr>
          <w:spacing w:val="-5"/>
        </w:rPr>
        <w:t> </w:t>
      </w:r>
      <w:r>
        <w:rPr/>
        <w:t>sobre</w:t>
      </w:r>
      <w:r>
        <w:rPr>
          <w:spacing w:val="-3"/>
        </w:rPr>
        <w:t> </w:t>
      </w:r>
      <w:r>
        <w:rPr/>
        <w:t>las</w:t>
      </w:r>
      <w:r>
        <w:rPr>
          <w:spacing w:val="-3"/>
        </w:rPr>
        <w:t> </w:t>
      </w:r>
      <w:r>
        <w:rPr/>
        <w:t>ventas</w:t>
      </w:r>
      <w:r>
        <w:rPr>
          <w:spacing w:val="-3"/>
        </w:rPr>
        <w:t> </w:t>
      </w:r>
      <w:r>
        <w:rPr/>
        <w:t>en</w:t>
      </w:r>
      <w:r>
        <w:rPr>
          <w:spacing w:val="-2"/>
        </w:rPr>
        <w:t> </w:t>
      </w:r>
      <w:r>
        <w:rPr/>
        <w:t>cinco</w:t>
      </w:r>
      <w:r>
        <w:rPr>
          <w:spacing w:val="-3"/>
        </w:rPr>
        <w:t> </w:t>
      </w:r>
      <w:r>
        <w:rPr/>
        <w:t>regiones</w:t>
      </w:r>
      <w:r>
        <w:rPr>
          <w:spacing w:val="-3"/>
        </w:rPr>
        <w:t> </w:t>
      </w:r>
      <w:r>
        <w:rPr/>
        <w:t>del sur</w:t>
      </w:r>
      <w:r>
        <w:rPr>
          <w:spacing w:val="-15"/>
        </w:rPr>
        <w:t> </w:t>
      </w:r>
      <w:r>
        <w:rPr/>
        <w:t>del</w:t>
      </w:r>
      <w:r>
        <w:rPr>
          <w:spacing w:val="-15"/>
        </w:rPr>
        <w:t> </w:t>
      </w:r>
      <w:r>
        <w:rPr/>
        <w:t>Perú:</w:t>
      </w:r>
      <w:r>
        <w:rPr>
          <w:spacing w:val="-15"/>
        </w:rPr>
        <w:t> </w:t>
      </w:r>
      <w:r>
        <w:rPr/>
        <w:t>Arequipa,</w:t>
      </w:r>
      <w:r>
        <w:rPr>
          <w:spacing w:val="-15"/>
        </w:rPr>
        <w:t> </w:t>
      </w:r>
      <w:r>
        <w:rPr/>
        <w:t>Cusco,</w:t>
      </w:r>
      <w:r>
        <w:rPr>
          <w:spacing w:val="-15"/>
        </w:rPr>
        <w:t> </w:t>
      </w:r>
      <w:r>
        <w:rPr/>
        <w:t>Moquegua,</w:t>
      </w:r>
      <w:r>
        <w:rPr>
          <w:spacing w:val="-15"/>
        </w:rPr>
        <w:t> </w:t>
      </w:r>
      <w:r>
        <w:rPr/>
        <w:t>Puno</w:t>
      </w:r>
      <w:r>
        <w:rPr>
          <w:spacing w:val="-15"/>
        </w:rPr>
        <w:t> </w:t>
      </w:r>
      <w:r>
        <w:rPr/>
        <w:t>y</w:t>
      </w:r>
      <w:r>
        <w:rPr>
          <w:spacing w:val="-15"/>
        </w:rPr>
        <w:t> </w:t>
      </w:r>
      <w:r>
        <w:rPr/>
        <w:t>Tacna,</w:t>
      </w:r>
      <w:r>
        <w:rPr>
          <w:spacing w:val="-15"/>
        </w:rPr>
        <w:t> </w:t>
      </w:r>
      <w:r>
        <w:rPr/>
        <w:t>durante</w:t>
      </w:r>
      <w:r>
        <w:rPr>
          <w:spacing w:val="-15"/>
        </w:rPr>
        <w:t> </w:t>
      </w:r>
      <w:r>
        <w:rPr/>
        <w:t>el</w:t>
      </w:r>
      <w:r>
        <w:rPr>
          <w:spacing w:val="-15"/>
        </w:rPr>
        <w:t> </w:t>
      </w:r>
      <w:r>
        <w:rPr/>
        <w:t>período</w:t>
      </w:r>
      <w:r>
        <w:rPr>
          <w:spacing w:val="-15"/>
        </w:rPr>
        <w:t> </w:t>
      </w:r>
      <w:r>
        <w:rPr/>
        <w:t>2020- 2021. Se busca determinar cómo los ingresos de los distritos más ricos y más pobres afectan estos impuestos. Los resultados muestran diferencias notables entre los distritos con altas y bajas tasas de recaudación, lo que subraya la importancia</w:t>
      </w:r>
      <w:r>
        <w:rPr>
          <w:spacing w:val="-15"/>
        </w:rPr>
        <w:t> </w:t>
      </w:r>
      <w:r>
        <w:rPr/>
        <w:t>de</w:t>
      </w:r>
      <w:r>
        <w:rPr>
          <w:spacing w:val="-15"/>
        </w:rPr>
        <w:t> </w:t>
      </w:r>
      <w:r>
        <w:rPr/>
        <w:t>considerar</w:t>
      </w:r>
      <w:r>
        <w:rPr>
          <w:spacing w:val="-15"/>
        </w:rPr>
        <w:t> </w:t>
      </w:r>
      <w:r>
        <w:rPr/>
        <w:t>factores</w:t>
      </w:r>
      <w:r>
        <w:rPr>
          <w:spacing w:val="-15"/>
        </w:rPr>
        <w:t> </w:t>
      </w:r>
      <w:r>
        <w:rPr/>
        <w:t>locales</w:t>
      </w:r>
      <w:r>
        <w:rPr>
          <w:spacing w:val="-15"/>
        </w:rPr>
        <w:t> </w:t>
      </w:r>
      <w:r>
        <w:rPr/>
        <w:t>al</w:t>
      </w:r>
      <w:r>
        <w:rPr>
          <w:spacing w:val="-15"/>
        </w:rPr>
        <w:t> </w:t>
      </w:r>
      <w:r>
        <w:rPr/>
        <w:t>diseñar</w:t>
      </w:r>
      <w:r>
        <w:rPr>
          <w:spacing w:val="-15"/>
        </w:rPr>
        <w:t> </w:t>
      </w:r>
      <w:r>
        <w:rPr/>
        <w:t>políticas</w:t>
      </w:r>
      <w:r>
        <w:rPr>
          <w:spacing w:val="-15"/>
        </w:rPr>
        <w:t> </w:t>
      </w:r>
      <w:r>
        <w:rPr/>
        <w:t>fiscales</w:t>
      </w:r>
      <w:r>
        <w:rPr>
          <w:spacing w:val="-15"/>
        </w:rPr>
        <w:t> </w:t>
      </w:r>
      <w:r>
        <w:rPr/>
        <w:t>y</w:t>
      </w:r>
      <w:r>
        <w:rPr>
          <w:spacing w:val="-15"/>
        </w:rPr>
        <w:t> </w:t>
      </w:r>
      <w:r>
        <w:rPr/>
        <w:t>estrategias de</w:t>
      </w:r>
      <w:r>
        <w:rPr>
          <w:spacing w:val="-2"/>
        </w:rPr>
        <w:t> </w:t>
      </w:r>
      <w:r>
        <w:rPr/>
        <w:t>recaudación.</w:t>
      </w:r>
      <w:r>
        <w:rPr>
          <w:spacing w:val="-2"/>
        </w:rPr>
        <w:t> </w:t>
      </w:r>
      <w:r>
        <w:rPr/>
        <w:t>En</w:t>
      </w:r>
      <w:r>
        <w:rPr>
          <w:spacing w:val="-2"/>
        </w:rPr>
        <w:t> </w:t>
      </w:r>
      <w:r>
        <w:rPr/>
        <w:t>los</w:t>
      </w:r>
      <w:r>
        <w:rPr>
          <w:spacing w:val="-1"/>
        </w:rPr>
        <w:t> </w:t>
      </w:r>
      <w:r>
        <w:rPr/>
        <w:t>distritos con</w:t>
      </w:r>
      <w:r>
        <w:rPr>
          <w:spacing w:val="-2"/>
        </w:rPr>
        <w:t> </w:t>
      </w:r>
      <w:r>
        <w:rPr/>
        <w:t>bajos niveles</w:t>
      </w:r>
      <w:r>
        <w:rPr>
          <w:spacing w:val="-2"/>
        </w:rPr>
        <w:t> </w:t>
      </w:r>
      <w:r>
        <w:rPr/>
        <w:t>de</w:t>
      </w:r>
      <w:r>
        <w:rPr>
          <w:spacing w:val="-2"/>
        </w:rPr>
        <w:t> </w:t>
      </w:r>
      <w:r>
        <w:rPr/>
        <w:t>recaudación,</w:t>
      </w:r>
      <w:r>
        <w:rPr>
          <w:spacing w:val="-2"/>
        </w:rPr>
        <w:t> </w:t>
      </w:r>
      <w:r>
        <w:rPr/>
        <w:t>se</w:t>
      </w:r>
      <w:r>
        <w:rPr>
          <w:spacing w:val="-2"/>
        </w:rPr>
        <w:t> </w:t>
      </w:r>
      <w:r>
        <w:rPr/>
        <w:t>observó</w:t>
      </w:r>
      <w:r>
        <w:rPr>
          <w:spacing w:val="-2"/>
        </w:rPr>
        <w:t> </w:t>
      </w:r>
      <w:r>
        <w:rPr/>
        <w:t>que un aumento en el ingreso familiar per cápita impacta significativamente en el impuesto de tercera categoría, aunque el efecto es menor en los impuestos de primera</w:t>
      </w:r>
      <w:r>
        <w:rPr>
          <w:spacing w:val="-9"/>
        </w:rPr>
        <w:t> </w:t>
      </w:r>
      <w:r>
        <w:rPr/>
        <w:t>y</w:t>
      </w:r>
      <w:r>
        <w:rPr>
          <w:spacing w:val="-9"/>
        </w:rPr>
        <w:t> </w:t>
      </w:r>
      <w:r>
        <w:rPr/>
        <w:t>segunda</w:t>
      </w:r>
      <w:r>
        <w:rPr>
          <w:spacing w:val="-8"/>
        </w:rPr>
        <w:t> </w:t>
      </w:r>
      <w:r>
        <w:rPr/>
        <w:t>categoría.</w:t>
      </w:r>
      <w:r>
        <w:rPr>
          <w:spacing w:val="-8"/>
        </w:rPr>
        <w:t> </w:t>
      </w:r>
      <w:r>
        <w:rPr/>
        <w:t>El</w:t>
      </w:r>
      <w:r>
        <w:rPr>
          <w:spacing w:val="-9"/>
        </w:rPr>
        <w:t> </w:t>
      </w:r>
      <w:r>
        <w:rPr/>
        <w:t>impuesto</w:t>
      </w:r>
      <w:r>
        <w:rPr>
          <w:spacing w:val="-8"/>
        </w:rPr>
        <w:t> </w:t>
      </w:r>
      <w:r>
        <w:rPr/>
        <w:t>de</w:t>
      </w:r>
      <w:r>
        <w:rPr>
          <w:spacing w:val="-10"/>
        </w:rPr>
        <w:t> </w:t>
      </w:r>
      <w:r>
        <w:rPr/>
        <w:t>cuarta</w:t>
      </w:r>
      <w:r>
        <w:rPr>
          <w:spacing w:val="-6"/>
        </w:rPr>
        <w:t> </w:t>
      </w:r>
      <w:r>
        <w:rPr/>
        <w:t>categoría</w:t>
      </w:r>
      <w:r>
        <w:rPr>
          <w:spacing w:val="-11"/>
        </w:rPr>
        <w:t> </w:t>
      </w:r>
      <w:r>
        <w:rPr/>
        <w:t>presenta</w:t>
      </w:r>
      <w:r>
        <w:rPr>
          <w:spacing w:val="-10"/>
        </w:rPr>
        <w:t> </w:t>
      </w:r>
      <w:r>
        <w:rPr/>
        <w:t>un</w:t>
      </w:r>
      <w:r>
        <w:rPr>
          <w:spacing w:val="-8"/>
        </w:rPr>
        <w:t> </w:t>
      </w:r>
      <w:r>
        <w:rPr/>
        <w:t>impacto menor que proporcional. En todos los distritos, un aumento inicial en el ingreso familiar per cápita se relaciona con un incremento más que proporcional en la recaudación del</w:t>
      </w:r>
      <w:r>
        <w:rPr>
          <w:spacing w:val="-1"/>
        </w:rPr>
        <w:t> </w:t>
      </w:r>
      <w:r>
        <w:rPr/>
        <w:t>gravamen general sobre las ventas; sin embargo, esta relación se debilita</w:t>
      </w:r>
      <w:r>
        <w:rPr>
          <w:spacing w:val="-6"/>
        </w:rPr>
        <w:t> </w:t>
      </w:r>
      <w:r>
        <w:rPr/>
        <w:t>a</w:t>
      </w:r>
      <w:r>
        <w:rPr>
          <w:spacing w:val="-6"/>
        </w:rPr>
        <w:t> </w:t>
      </w:r>
      <w:r>
        <w:rPr/>
        <w:t>medida</w:t>
      </w:r>
      <w:r>
        <w:rPr>
          <w:spacing w:val="-6"/>
        </w:rPr>
        <w:t> </w:t>
      </w:r>
      <w:r>
        <w:rPr/>
        <w:t>que</w:t>
      </w:r>
      <w:r>
        <w:rPr>
          <w:spacing w:val="-6"/>
        </w:rPr>
        <w:t> </w:t>
      </w:r>
      <w:r>
        <w:rPr/>
        <w:t>los</w:t>
      </w:r>
      <w:r>
        <w:rPr>
          <w:spacing w:val="-5"/>
        </w:rPr>
        <w:t> </w:t>
      </w:r>
      <w:r>
        <w:rPr/>
        <w:t>distritos</w:t>
      </w:r>
      <w:r>
        <w:rPr>
          <w:spacing w:val="-5"/>
        </w:rPr>
        <w:t> </w:t>
      </w:r>
      <w:r>
        <w:rPr/>
        <w:t>se</w:t>
      </w:r>
      <w:r>
        <w:rPr>
          <w:spacing w:val="-5"/>
        </w:rPr>
        <w:t> </w:t>
      </w:r>
      <w:r>
        <w:rPr/>
        <w:t>enriquecen.</w:t>
      </w:r>
      <w:r>
        <w:rPr>
          <w:spacing w:val="-6"/>
        </w:rPr>
        <w:t> </w:t>
      </w:r>
      <w:r>
        <w:rPr/>
        <w:t>En</w:t>
      </w:r>
      <w:r>
        <w:rPr>
          <w:spacing w:val="-6"/>
        </w:rPr>
        <w:t> </w:t>
      </w:r>
      <w:r>
        <w:rPr/>
        <w:t>los</w:t>
      </w:r>
      <w:r>
        <w:rPr>
          <w:spacing w:val="-5"/>
        </w:rPr>
        <w:t> </w:t>
      </w:r>
      <w:r>
        <w:rPr/>
        <w:t>distritos</w:t>
      </w:r>
      <w:r>
        <w:rPr>
          <w:spacing w:val="-5"/>
        </w:rPr>
        <w:t> </w:t>
      </w:r>
      <w:r>
        <w:rPr/>
        <w:t>con</w:t>
      </w:r>
      <w:r>
        <w:rPr>
          <w:spacing w:val="-6"/>
        </w:rPr>
        <w:t> </w:t>
      </w:r>
      <w:r>
        <w:rPr/>
        <w:t>altos</w:t>
      </w:r>
      <w:r>
        <w:rPr>
          <w:spacing w:val="-5"/>
        </w:rPr>
        <w:t> </w:t>
      </w:r>
      <w:r>
        <w:rPr/>
        <w:t>niveles de recaudación, se nota una tendencia hacia un impacto menor que proporcional del ingreso familiar per cápita en la recaudación de impuestos, la cual se atenúa aún más en distritos más ricos. En los distritos de recaudación media, el impacto es menos pronunciado en comparación con aquellos de alta y baja recaudación. Estos</w:t>
      </w:r>
      <w:r>
        <w:rPr>
          <w:spacing w:val="-3"/>
        </w:rPr>
        <w:t> </w:t>
      </w:r>
      <w:r>
        <w:rPr/>
        <w:t>descubrimientos</w:t>
      </w:r>
      <w:r>
        <w:rPr>
          <w:spacing w:val="-3"/>
        </w:rPr>
        <w:t> </w:t>
      </w:r>
      <w:r>
        <w:rPr/>
        <w:t>subrayan</w:t>
      </w:r>
      <w:r>
        <w:rPr>
          <w:spacing w:val="-3"/>
        </w:rPr>
        <w:t> </w:t>
      </w:r>
      <w:r>
        <w:rPr/>
        <w:t>la</w:t>
      </w:r>
      <w:r>
        <w:rPr>
          <w:spacing w:val="-3"/>
        </w:rPr>
        <w:t> </w:t>
      </w:r>
      <w:r>
        <w:rPr/>
        <w:t>relevancia</w:t>
      </w:r>
      <w:r>
        <w:rPr>
          <w:spacing w:val="-3"/>
        </w:rPr>
        <w:t> </w:t>
      </w:r>
      <w:r>
        <w:rPr/>
        <w:t>de</w:t>
      </w:r>
      <w:r>
        <w:rPr>
          <w:spacing w:val="-3"/>
        </w:rPr>
        <w:t> </w:t>
      </w:r>
      <w:r>
        <w:rPr/>
        <w:t>ajustar</w:t>
      </w:r>
      <w:r>
        <w:rPr>
          <w:spacing w:val="-2"/>
        </w:rPr>
        <w:t> </w:t>
      </w:r>
      <w:r>
        <w:rPr/>
        <w:t>las</w:t>
      </w:r>
      <w:r>
        <w:rPr>
          <w:spacing w:val="-3"/>
        </w:rPr>
        <w:t> </w:t>
      </w:r>
      <w:r>
        <w:rPr/>
        <w:t>políticas</w:t>
      </w:r>
      <w:r>
        <w:rPr>
          <w:spacing w:val="-3"/>
        </w:rPr>
        <w:t> </w:t>
      </w:r>
      <w:r>
        <w:rPr/>
        <w:t>fiscales</w:t>
      </w:r>
      <w:r>
        <w:rPr>
          <w:spacing w:val="-3"/>
        </w:rPr>
        <w:t> </w:t>
      </w:r>
      <w:r>
        <w:rPr/>
        <w:t>y</w:t>
      </w:r>
      <w:r>
        <w:rPr>
          <w:spacing w:val="-3"/>
        </w:rPr>
        <w:t> </w:t>
      </w:r>
      <w:r>
        <w:rPr/>
        <w:t>de recaudación</w:t>
      </w:r>
      <w:r>
        <w:rPr>
          <w:spacing w:val="-15"/>
        </w:rPr>
        <w:t> </w:t>
      </w:r>
      <w:r>
        <w:rPr/>
        <w:t>a</w:t>
      </w:r>
      <w:r>
        <w:rPr>
          <w:spacing w:val="-15"/>
        </w:rPr>
        <w:t> </w:t>
      </w:r>
      <w:r>
        <w:rPr/>
        <w:t>las</w:t>
      </w:r>
      <w:r>
        <w:rPr>
          <w:spacing w:val="-15"/>
        </w:rPr>
        <w:t> </w:t>
      </w:r>
      <w:r>
        <w:rPr/>
        <w:t>condiciones</w:t>
      </w:r>
      <w:r>
        <w:rPr>
          <w:spacing w:val="-15"/>
        </w:rPr>
        <w:t> </w:t>
      </w:r>
      <w:r>
        <w:rPr/>
        <w:t>específicas</w:t>
      </w:r>
      <w:r>
        <w:rPr>
          <w:spacing w:val="-15"/>
        </w:rPr>
        <w:t> </w:t>
      </w:r>
      <w:r>
        <w:rPr/>
        <w:t>de</w:t>
      </w:r>
      <w:r>
        <w:rPr>
          <w:spacing w:val="-15"/>
        </w:rPr>
        <w:t> </w:t>
      </w:r>
      <w:r>
        <w:rPr/>
        <w:t>cada</w:t>
      </w:r>
      <w:r>
        <w:rPr>
          <w:spacing w:val="-15"/>
        </w:rPr>
        <w:t> </w:t>
      </w:r>
      <w:r>
        <w:rPr/>
        <w:t>localidad</w:t>
      </w:r>
      <w:r>
        <w:rPr>
          <w:spacing w:val="-15"/>
        </w:rPr>
        <w:t> </w:t>
      </w:r>
      <w:r>
        <w:rPr/>
        <w:t>para</w:t>
      </w:r>
      <w:r>
        <w:rPr>
          <w:spacing w:val="-15"/>
        </w:rPr>
        <w:t> </w:t>
      </w:r>
      <w:r>
        <w:rPr/>
        <w:t>lograr</w:t>
      </w:r>
      <w:r>
        <w:rPr>
          <w:spacing w:val="-15"/>
        </w:rPr>
        <w:t> </w:t>
      </w:r>
      <w:r>
        <w:rPr/>
        <w:t>un</w:t>
      </w:r>
      <w:r>
        <w:rPr>
          <w:spacing w:val="-15"/>
        </w:rPr>
        <w:t> </w:t>
      </w:r>
      <w:r>
        <w:rPr/>
        <w:t>impacto </w:t>
      </w:r>
      <w:r>
        <w:rPr>
          <w:spacing w:val="-2"/>
        </w:rPr>
        <w:t>efectivo.</w:t>
      </w:r>
    </w:p>
    <w:p>
      <w:pPr>
        <w:pStyle w:val="BodyText"/>
        <w:spacing w:line="480" w:lineRule="auto" w:before="2"/>
        <w:ind w:left="1135" w:right="991" w:firstLine="720"/>
        <w:jc w:val="both"/>
      </w:pPr>
      <w:r>
        <w:rPr/>
        <w:t>Quispe</w:t>
      </w:r>
      <w:r>
        <w:rPr>
          <w:spacing w:val="-9"/>
        </w:rPr>
        <w:t> </w:t>
      </w:r>
      <w:r>
        <w:rPr/>
        <w:t>(2022)</w:t>
      </w:r>
      <w:r>
        <w:rPr>
          <w:spacing w:val="-9"/>
        </w:rPr>
        <w:t> </w:t>
      </w:r>
      <w:r>
        <w:rPr/>
        <w:t>desarrolló</w:t>
      </w:r>
      <w:r>
        <w:rPr>
          <w:spacing w:val="-9"/>
        </w:rPr>
        <w:t> </w:t>
      </w:r>
      <w:r>
        <w:rPr/>
        <w:t>la</w:t>
      </w:r>
      <w:r>
        <w:rPr>
          <w:spacing w:val="-10"/>
        </w:rPr>
        <w:t> </w:t>
      </w:r>
      <w:r>
        <w:rPr/>
        <w:t>investigación</w:t>
      </w:r>
      <w:r>
        <w:rPr>
          <w:spacing w:val="-7"/>
        </w:rPr>
        <w:t> </w:t>
      </w:r>
      <w:r>
        <w:rPr/>
        <w:t>titulada</w:t>
      </w:r>
      <w:r>
        <w:rPr>
          <w:spacing w:val="-10"/>
        </w:rPr>
        <w:t> </w:t>
      </w:r>
      <w:r>
        <w:rPr/>
        <w:t>"Elementos</w:t>
      </w:r>
      <w:r>
        <w:rPr>
          <w:spacing w:val="-9"/>
        </w:rPr>
        <w:t> </w:t>
      </w:r>
      <w:r>
        <w:rPr/>
        <w:t>fiscales</w:t>
      </w:r>
      <w:r>
        <w:rPr>
          <w:spacing w:val="-9"/>
        </w:rPr>
        <w:t> </w:t>
      </w:r>
      <w:r>
        <w:rPr/>
        <w:t>y</w:t>
      </w:r>
      <w:r>
        <w:rPr>
          <w:spacing w:val="-9"/>
        </w:rPr>
        <w:t> </w:t>
      </w:r>
      <w:r>
        <w:rPr/>
        <w:t>la falta</w:t>
      </w:r>
      <w:r>
        <w:rPr>
          <w:spacing w:val="-5"/>
        </w:rPr>
        <w:t> </w:t>
      </w:r>
      <w:r>
        <w:rPr/>
        <w:t>de</w:t>
      </w:r>
      <w:r>
        <w:rPr>
          <w:spacing w:val="-3"/>
        </w:rPr>
        <w:t> </w:t>
      </w:r>
      <w:r>
        <w:rPr/>
        <w:t>formalidad</w:t>
      </w:r>
      <w:r>
        <w:rPr>
          <w:spacing w:val="-3"/>
        </w:rPr>
        <w:t> </w:t>
      </w:r>
      <w:r>
        <w:rPr/>
        <w:t>de</w:t>
      </w:r>
      <w:r>
        <w:rPr>
          <w:spacing w:val="-3"/>
        </w:rPr>
        <w:t> </w:t>
      </w:r>
      <w:r>
        <w:rPr/>
        <w:t>los</w:t>
      </w:r>
      <w:r>
        <w:rPr>
          <w:spacing w:val="-3"/>
        </w:rPr>
        <w:t> </w:t>
      </w:r>
      <w:r>
        <w:rPr/>
        <w:t>minoristas</w:t>
      </w:r>
      <w:r>
        <w:rPr>
          <w:spacing w:val="-3"/>
        </w:rPr>
        <w:t> </w:t>
      </w:r>
      <w:r>
        <w:rPr/>
        <w:t>de</w:t>
      </w:r>
      <w:r>
        <w:rPr>
          <w:spacing w:val="-3"/>
        </w:rPr>
        <w:t> </w:t>
      </w:r>
      <w:r>
        <w:rPr/>
        <w:t>productos</w:t>
      </w:r>
      <w:r>
        <w:rPr>
          <w:spacing w:val="-3"/>
        </w:rPr>
        <w:t> </w:t>
      </w:r>
      <w:r>
        <w:rPr/>
        <w:t>de</w:t>
      </w:r>
      <w:r>
        <w:rPr>
          <w:spacing w:val="-3"/>
        </w:rPr>
        <w:t> </w:t>
      </w:r>
      <w:r>
        <w:rPr/>
        <w:t>abarrotes</w:t>
      </w:r>
      <w:r>
        <w:rPr>
          <w:spacing w:val="-3"/>
        </w:rPr>
        <w:t> </w:t>
      </w:r>
      <w:r>
        <w:rPr/>
        <w:t>en</w:t>
      </w:r>
      <w:r>
        <w:rPr>
          <w:spacing w:val="-3"/>
        </w:rPr>
        <w:t> </w:t>
      </w:r>
      <w:r>
        <w:rPr/>
        <w:t>la</w:t>
      </w:r>
      <w:r>
        <w:rPr>
          <w:spacing w:val="-5"/>
        </w:rPr>
        <w:t> </w:t>
      </w:r>
      <w:r>
        <w:rPr/>
        <w:t>provincia</w:t>
      </w:r>
      <w:r>
        <w:rPr>
          <w:spacing w:val="-5"/>
        </w:rPr>
        <w:t> </w:t>
      </w:r>
      <w:r>
        <w:rPr/>
        <w:t>de San Román, Puno, 2021" Este estudio explora cómo la conciencia fiscal de los vendedores</w:t>
      </w:r>
      <w:r>
        <w:rPr>
          <w:spacing w:val="69"/>
        </w:rPr>
        <w:t> </w:t>
      </w:r>
      <w:r>
        <w:rPr/>
        <w:t>en</w:t>
      </w:r>
      <w:r>
        <w:rPr>
          <w:spacing w:val="72"/>
        </w:rPr>
        <w:t> </w:t>
      </w:r>
      <w:r>
        <w:rPr/>
        <w:t>Juliaca</w:t>
      </w:r>
      <w:r>
        <w:rPr>
          <w:spacing w:val="72"/>
        </w:rPr>
        <w:t> </w:t>
      </w:r>
      <w:r>
        <w:rPr/>
        <w:t>está</w:t>
      </w:r>
      <w:r>
        <w:rPr>
          <w:spacing w:val="70"/>
        </w:rPr>
        <w:t> </w:t>
      </w:r>
      <w:r>
        <w:rPr/>
        <w:t>relacionada</w:t>
      </w:r>
      <w:r>
        <w:rPr>
          <w:spacing w:val="73"/>
        </w:rPr>
        <w:t> </w:t>
      </w:r>
      <w:r>
        <w:rPr/>
        <w:t>con</w:t>
      </w:r>
      <w:r>
        <w:rPr>
          <w:spacing w:val="72"/>
        </w:rPr>
        <w:t> </w:t>
      </w:r>
      <w:r>
        <w:rPr/>
        <w:t>el</w:t>
      </w:r>
      <w:r>
        <w:rPr>
          <w:spacing w:val="71"/>
        </w:rPr>
        <w:t> </w:t>
      </w:r>
      <w:r>
        <w:rPr/>
        <w:t>grado</w:t>
      </w:r>
      <w:r>
        <w:rPr>
          <w:spacing w:val="71"/>
        </w:rPr>
        <w:t> </w:t>
      </w:r>
      <w:r>
        <w:rPr/>
        <w:t>de</w:t>
      </w:r>
      <w:r>
        <w:rPr>
          <w:spacing w:val="72"/>
        </w:rPr>
        <w:t> </w:t>
      </w:r>
      <w:r>
        <w:rPr/>
        <w:t>informalidad</w:t>
      </w:r>
      <w:r>
        <w:rPr>
          <w:spacing w:val="72"/>
        </w:rPr>
        <w:t> </w:t>
      </w:r>
      <w:r>
        <w:rPr/>
        <w:t>y</w:t>
      </w:r>
      <w:r>
        <w:rPr>
          <w:spacing w:val="72"/>
        </w:rPr>
        <w:t> </w:t>
      </w:r>
      <w:r>
        <w:rPr>
          <w:spacing w:val="-5"/>
        </w:rPr>
        <w:t>su</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135" w:right="990"/>
        <w:jc w:val="both"/>
      </w:pPr>
      <w:r>
        <w:rPr/>
        <w:t>cumplimiento</w:t>
      </w:r>
      <w:r>
        <w:rPr>
          <w:spacing w:val="-3"/>
        </w:rPr>
        <w:t> </w:t>
      </w:r>
      <w:r>
        <w:rPr/>
        <w:t>de</w:t>
      </w:r>
      <w:r>
        <w:rPr>
          <w:spacing w:val="-2"/>
        </w:rPr>
        <w:t> </w:t>
      </w:r>
      <w:r>
        <w:rPr/>
        <w:t>impuestos,</w:t>
      </w:r>
      <w:r>
        <w:rPr>
          <w:spacing w:val="-1"/>
        </w:rPr>
        <w:t> </w:t>
      </w:r>
      <w:r>
        <w:rPr/>
        <w:t>específicamente</w:t>
      </w:r>
      <w:r>
        <w:rPr>
          <w:spacing w:val="-2"/>
        </w:rPr>
        <w:t> </w:t>
      </w:r>
      <w:r>
        <w:rPr/>
        <w:t>el</w:t>
      </w:r>
      <w:r>
        <w:rPr>
          <w:spacing w:val="-3"/>
        </w:rPr>
        <w:t> </w:t>
      </w:r>
      <w:r>
        <w:rPr/>
        <w:t>tributo</w:t>
      </w:r>
      <w:r>
        <w:rPr>
          <w:spacing w:val="-2"/>
        </w:rPr>
        <w:t> </w:t>
      </w:r>
      <w:r>
        <w:rPr/>
        <w:t>general</w:t>
      </w:r>
      <w:r>
        <w:rPr>
          <w:spacing w:val="-3"/>
        </w:rPr>
        <w:t> </w:t>
      </w:r>
      <w:r>
        <w:rPr/>
        <w:t>sobre</w:t>
      </w:r>
      <w:r>
        <w:rPr>
          <w:spacing w:val="-2"/>
        </w:rPr>
        <w:t> </w:t>
      </w:r>
      <w:r>
        <w:rPr/>
        <w:t>las</w:t>
      </w:r>
      <w:r>
        <w:rPr>
          <w:spacing w:val="-1"/>
        </w:rPr>
        <w:t> </w:t>
      </w:r>
      <w:r>
        <w:rPr/>
        <w:t>ventas</w:t>
      </w:r>
      <w:r>
        <w:rPr>
          <w:spacing w:val="-2"/>
        </w:rPr>
        <w:t> </w:t>
      </w:r>
      <w:r>
        <w:rPr/>
        <w:t>y el tributo a la renta de tercera categoría. Se examina si el nivel de conocimiento sobre</w:t>
      </w:r>
      <w:r>
        <w:rPr>
          <w:spacing w:val="-11"/>
        </w:rPr>
        <w:t> </w:t>
      </w:r>
      <w:r>
        <w:rPr/>
        <w:t>cultura</w:t>
      </w:r>
      <w:r>
        <w:rPr>
          <w:spacing w:val="-11"/>
        </w:rPr>
        <w:t> </w:t>
      </w:r>
      <w:r>
        <w:rPr/>
        <w:t>tributaria</w:t>
      </w:r>
      <w:r>
        <w:rPr>
          <w:spacing w:val="-12"/>
        </w:rPr>
        <w:t> </w:t>
      </w:r>
      <w:r>
        <w:rPr/>
        <w:t>guarda</w:t>
      </w:r>
      <w:r>
        <w:rPr>
          <w:spacing w:val="-11"/>
        </w:rPr>
        <w:t> </w:t>
      </w:r>
      <w:r>
        <w:rPr/>
        <w:t>alguna</w:t>
      </w:r>
      <w:r>
        <w:rPr>
          <w:spacing w:val="-11"/>
        </w:rPr>
        <w:t> </w:t>
      </w:r>
      <w:r>
        <w:rPr/>
        <w:t>relación</w:t>
      </w:r>
      <w:r>
        <w:rPr>
          <w:spacing w:val="-10"/>
        </w:rPr>
        <w:t> </w:t>
      </w:r>
      <w:r>
        <w:rPr/>
        <w:t>con</w:t>
      </w:r>
      <w:r>
        <w:rPr>
          <w:spacing w:val="-11"/>
        </w:rPr>
        <w:t> </w:t>
      </w:r>
      <w:r>
        <w:rPr/>
        <w:t>el</w:t>
      </w:r>
      <w:r>
        <w:rPr>
          <w:spacing w:val="-12"/>
        </w:rPr>
        <w:t> </w:t>
      </w:r>
      <w:r>
        <w:rPr/>
        <w:t>grado</w:t>
      </w:r>
      <w:r>
        <w:rPr>
          <w:spacing w:val="-11"/>
        </w:rPr>
        <w:t> </w:t>
      </w:r>
      <w:r>
        <w:rPr/>
        <w:t>de</w:t>
      </w:r>
      <w:r>
        <w:rPr>
          <w:spacing w:val="-11"/>
        </w:rPr>
        <w:t> </w:t>
      </w:r>
      <w:r>
        <w:rPr/>
        <w:t>informalidad</w:t>
      </w:r>
      <w:r>
        <w:rPr>
          <w:spacing w:val="-11"/>
        </w:rPr>
        <w:t> </w:t>
      </w:r>
      <w:r>
        <w:rPr/>
        <w:t>de</w:t>
      </w:r>
      <w:r>
        <w:rPr>
          <w:spacing w:val="-11"/>
        </w:rPr>
        <w:t> </w:t>
      </w:r>
      <w:r>
        <w:rPr/>
        <w:t>los vendedores</w:t>
      </w:r>
      <w:r>
        <w:rPr>
          <w:spacing w:val="-3"/>
        </w:rPr>
        <w:t> </w:t>
      </w:r>
      <w:r>
        <w:rPr/>
        <w:t>de</w:t>
      </w:r>
      <w:r>
        <w:rPr>
          <w:spacing w:val="-3"/>
        </w:rPr>
        <w:t> </w:t>
      </w:r>
      <w:r>
        <w:rPr/>
        <w:t>abarrotes</w:t>
      </w:r>
      <w:r>
        <w:rPr>
          <w:spacing w:val="-3"/>
        </w:rPr>
        <w:t> </w:t>
      </w:r>
      <w:r>
        <w:rPr/>
        <w:t>al</w:t>
      </w:r>
      <w:r>
        <w:rPr>
          <w:spacing w:val="-5"/>
        </w:rPr>
        <w:t> </w:t>
      </w:r>
      <w:r>
        <w:rPr/>
        <w:t>por</w:t>
      </w:r>
      <w:r>
        <w:rPr>
          <w:spacing w:val="-2"/>
        </w:rPr>
        <w:t> </w:t>
      </w:r>
      <w:r>
        <w:rPr/>
        <w:t>menor.</w:t>
      </w:r>
      <w:r>
        <w:rPr>
          <w:spacing w:val="-3"/>
        </w:rPr>
        <w:t> </w:t>
      </w:r>
      <w:r>
        <w:rPr/>
        <w:t>Mediante</w:t>
      </w:r>
      <w:r>
        <w:rPr>
          <w:spacing w:val="-2"/>
        </w:rPr>
        <w:t> </w:t>
      </w:r>
      <w:r>
        <w:rPr/>
        <w:t>un</w:t>
      </w:r>
      <w:r>
        <w:rPr>
          <w:spacing w:val="-3"/>
        </w:rPr>
        <w:t> </w:t>
      </w:r>
      <w:r>
        <w:rPr/>
        <w:t>muestreo</w:t>
      </w:r>
      <w:r>
        <w:rPr>
          <w:spacing w:val="-2"/>
        </w:rPr>
        <w:t> </w:t>
      </w:r>
      <w:r>
        <w:rPr/>
        <w:t>aleatorio</w:t>
      </w:r>
      <w:r>
        <w:rPr>
          <w:spacing w:val="-4"/>
        </w:rPr>
        <w:t> </w:t>
      </w:r>
      <w:r>
        <w:rPr/>
        <w:t>simple,</w:t>
      </w:r>
      <w:r>
        <w:rPr>
          <w:spacing w:val="-3"/>
        </w:rPr>
        <w:t> </w:t>
      </w:r>
      <w:r>
        <w:rPr/>
        <w:t>se encuestó a 272 comerciantes con una encuesta estructurada. Los hallazgos muestran que la cultura tributaria tiene un impacto notable en la informalidad de los</w:t>
      </w:r>
      <w:r>
        <w:rPr>
          <w:spacing w:val="-4"/>
        </w:rPr>
        <w:t> </w:t>
      </w:r>
      <w:r>
        <w:rPr/>
        <w:t>comerciantes.</w:t>
      </w:r>
      <w:r>
        <w:rPr>
          <w:spacing w:val="-4"/>
        </w:rPr>
        <w:t> </w:t>
      </w:r>
      <w:r>
        <w:rPr/>
        <w:t>Se</w:t>
      </w:r>
      <w:r>
        <w:rPr>
          <w:spacing w:val="-4"/>
        </w:rPr>
        <w:t> </w:t>
      </w:r>
      <w:r>
        <w:rPr/>
        <w:t>encontró</w:t>
      </w:r>
      <w:r>
        <w:rPr>
          <w:spacing w:val="-3"/>
        </w:rPr>
        <w:t> </w:t>
      </w:r>
      <w:r>
        <w:rPr/>
        <w:t>que</w:t>
      </w:r>
      <w:r>
        <w:rPr>
          <w:spacing w:val="-4"/>
        </w:rPr>
        <w:t> </w:t>
      </w:r>
      <w:r>
        <w:rPr/>
        <w:t>un</w:t>
      </w:r>
      <w:r>
        <w:rPr>
          <w:spacing w:val="-4"/>
        </w:rPr>
        <w:t> </w:t>
      </w:r>
      <w:r>
        <w:rPr/>
        <w:t>40%</w:t>
      </w:r>
      <w:r>
        <w:rPr>
          <w:spacing w:val="-4"/>
        </w:rPr>
        <w:t> </w:t>
      </w:r>
      <w:r>
        <w:rPr/>
        <w:t>de</w:t>
      </w:r>
      <w:r>
        <w:rPr>
          <w:spacing w:val="-5"/>
        </w:rPr>
        <w:t> </w:t>
      </w:r>
      <w:r>
        <w:rPr/>
        <w:t>ellos</w:t>
      </w:r>
      <w:r>
        <w:rPr>
          <w:spacing w:val="-4"/>
        </w:rPr>
        <w:t> </w:t>
      </w:r>
      <w:r>
        <w:rPr/>
        <w:t>presenta</w:t>
      </w:r>
      <w:r>
        <w:rPr>
          <w:spacing w:val="-4"/>
        </w:rPr>
        <w:t> </w:t>
      </w:r>
      <w:r>
        <w:rPr/>
        <w:t>una</w:t>
      </w:r>
      <w:r>
        <w:rPr>
          <w:spacing w:val="-6"/>
        </w:rPr>
        <w:t> </w:t>
      </w:r>
      <w:r>
        <w:rPr/>
        <w:t>cultura</w:t>
      </w:r>
      <w:r>
        <w:rPr>
          <w:spacing w:val="-4"/>
        </w:rPr>
        <w:t> </w:t>
      </w:r>
      <w:r>
        <w:rPr/>
        <w:t>tributaria baja y evade sus responsabilidades fiscales, sin registro formal. En cambio, el 13.3% de quienes poseen un nivel intermedio de cultura tributaria cumplen parcialmente con sus obligaciones y están en proceso de formalización. Por último,</w:t>
      </w:r>
      <w:r>
        <w:rPr>
          <w:spacing w:val="-14"/>
        </w:rPr>
        <w:t> </w:t>
      </w:r>
      <w:r>
        <w:rPr/>
        <w:t>otro</w:t>
      </w:r>
      <w:r>
        <w:rPr>
          <w:spacing w:val="-14"/>
        </w:rPr>
        <w:t> </w:t>
      </w:r>
      <w:r>
        <w:rPr/>
        <w:t>13.3%</w:t>
      </w:r>
      <w:r>
        <w:rPr>
          <w:spacing w:val="-14"/>
        </w:rPr>
        <w:t> </w:t>
      </w:r>
      <w:r>
        <w:rPr/>
        <w:t>de</w:t>
      </w:r>
      <w:r>
        <w:rPr>
          <w:spacing w:val="-15"/>
        </w:rPr>
        <w:t> </w:t>
      </w:r>
      <w:r>
        <w:rPr/>
        <w:t>los</w:t>
      </w:r>
      <w:r>
        <w:rPr>
          <w:spacing w:val="-14"/>
        </w:rPr>
        <w:t> </w:t>
      </w:r>
      <w:r>
        <w:rPr/>
        <w:t>comerciantes</w:t>
      </w:r>
      <w:r>
        <w:rPr>
          <w:spacing w:val="-14"/>
        </w:rPr>
        <w:t> </w:t>
      </w:r>
      <w:r>
        <w:rPr/>
        <w:t>con</w:t>
      </w:r>
      <w:r>
        <w:rPr>
          <w:spacing w:val="-15"/>
        </w:rPr>
        <w:t> </w:t>
      </w:r>
      <w:r>
        <w:rPr/>
        <w:t>un</w:t>
      </w:r>
      <w:r>
        <w:rPr>
          <w:spacing w:val="-14"/>
        </w:rPr>
        <w:t> </w:t>
      </w:r>
      <w:r>
        <w:rPr/>
        <w:t>adecuado</w:t>
      </w:r>
      <w:r>
        <w:rPr>
          <w:spacing w:val="-15"/>
        </w:rPr>
        <w:t> </w:t>
      </w:r>
      <w:r>
        <w:rPr/>
        <w:t>nivel</w:t>
      </w:r>
      <w:r>
        <w:rPr>
          <w:spacing w:val="-14"/>
        </w:rPr>
        <w:t> </w:t>
      </w:r>
      <w:r>
        <w:rPr/>
        <w:t>de</w:t>
      </w:r>
      <w:r>
        <w:rPr>
          <w:spacing w:val="-15"/>
        </w:rPr>
        <w:t> </w:t>
      </w:r>
      <w:r>
        <w:rPr/>
        <w:t>cultura</w:t>
      </w:r>
      <w:r>
        <w:rPr>
          <w:spacing w:val="-15"/>
        </w:rPr>
        <w:t> </w:t>
      </w:r>
      <w:r>
        <w:rPr/>
        <w:t>tributaria cumplen plenamente con sus deberes y están debidamente registrados en la </w:t>
      </w:r>
      <w:r>
        <w:rPr>
          <w:spacing w:val="-2"/>
        </w:rPr>
        <w:t>SUNAT.</w:t>
      </w:r>
    </w:p>
    <w:p>
      <w:pPr>
        <w:pStyle w:val="BodyText"/>
        <w:spacing w:line="480" w:lineRule="auto" w:before="2"/>
        <w:ind w:left="1135" w:right="990" w:firstLine="720"/>
        <w:jc w:val="both"/>
      </w:pPr>
      <w:r>
        <w:rPr/>
        <w:t>Zapana (2022) desarrolló la tesis titulada "Establecimiento del gravamen general sobre las ventas y anticipos del impuesto a la renta dentro del régimen tributario</w:t>
      </w:r>
      <w:r>
        <w:rPr>
          <w:spacing w:val="-6"/>
        </w:rPr>
        <w:t> </w:t>
      </w:r>
      <w:r>
        <w:rPr/>
        <w:t>de</w:t>
      </w:r>
      <w:r>
        <w:rPr>
          <w:spacing w:val="-6"/>
        </w:rPr>
        <w:t> </w:t>
      </w:r>
      <w:r>
        <w:rPr/>
        <w:t>MYPE</w:t>
      </w:r>
      <w:r>
        <w:rPr>
          <w:spacing w:val="-8"/>
        </w:rPr>
        <w:t> </w:t>
      </w:r>
      <w:r>
        <w:rPr/>
        <w:t>de</w:t>
      </w:r>
      <w:r>
        <w:rPr>
          <w:spacing w:val="-6"/>
        </w:rPr>
        <w:t> </w:t>
      </w:r>
      <w:r>
        <w:rPr/>
        <w:t>la</w:t>
      </w:r>
      <w:r>
        <w:rPr>
          <w:spacing w:val="-7"/>
        </w:rPr>
        <w:t> </w:t>
      </w:r>
      <w:r>
        <w:rPr/>
        <w:t>compañía</w:t>
      </w:r>
      <w:r>
        <w:rPr>
          <w:spacing w:val="-6"/>
        </w:rPr>
        <w:t> </w:t>
      </w:r>
      <w:r>
        <w:rPr/>
        <w:t>Inversiones</w:t>
      </w:r>
      <w:r>
        <w:rPr>
          <w:spacing w:val="-5"/>
        </w:rPr>
        <w:t> </w:t>
      </w:r>
      <w:r>
        <w:rPr/>
        <w:t>y</w:t>
      </w:r>
      <w:r>
        <w:rPr>
          <w:spacing w:val="-5"/>
        </w:rPr>
        <w:t> </w:t>
      </w:r>
      <w:r>
        <w:rPr/>
        <w:t>Negocios</w:t>
      </w:r>
      <w:r>
        <w:rPr>
          <w:spacing w:val="-5"/>
        </w:rPr>
        <w:t> </w:t>
      </w:r>
      <w:r>
        <w:rPr/>
        <w:t>Aldo</w:t>
      </w:r>
      <w:r>
        <w:rPr>
          <w:spacing w:val="-5"/>
        </w:rPr>
        <w:t> </w:t>
      </w:r>
      <w:r>
        <w:rPr/>
        <w:t>Rosel</w:t>
      </w:r>
      <w:r>
        <w:rPr>
          <w:spacing w:val="-6"/>
        </w:rPr>
        <w:t> </w:t>
      </w:r>
      <w:r>
        <w:rPr/>
        <w:t>EIRL</w:t>
      </w:r>
      <w:r>
        <w:rPr>
          <w:spacing w:val="-7"/>
        </w:rPr>
        <w:t> </w:t>
      </w:r>
      <w:r>
        <w:rPr/>
        <w:t>del periodo 2021” Este trabajo se centra en el análisis de las normativas fiscales aplicables a las micro y a su vez las pequeñas compañías (MYPE), específicamente para establecer el gravamen general sobre las ventas y el impuesto sobre la renta. A lo largo de la investigación, se recopilaron conceptos relevantes</w:t>
      </w:r>
      <w:r>
        <w:rPr>
          <w:spacing w:val="-15"/>
        </w:rPr>
        <w:t> </w:t>
      </w:r>
      <w:r>
        <w:rPr/>
        <w:t>a</w:t>
      </w:r>
      <w:r>
        <w:rPr>
          <w:spacing w:val="-15"/>
        </w:rPr>
        <w:t> </w:t>
      </w:r>
      <w:r>
        <w:rPr/>
        <w:t>través</w:t>
      </w:r>
      <w:r>
        <w:rPr>
          <w:spacing w:val="-15"/>
        </w:rPr>
        <w:t> </w:t>
      </w:r>
      <w:r>
        <w:rPr/>
        <w:t>de</w:t>
      </w:r>
      <w:r>
        <w:rPr>
          <w:spacing w:val="-15"/>
        </w:rPr>
        <w:t> </w:t>
      </w:r>
      <w:r>
        <w:rPr/>
        <w:t>diversas</w:t>
      </w:r>
      <w:r>
        <w:rPr>
          <w:spacing w:val="-15"/>
        </w:rPr>
        <w:t> </w:t>
      </w:r>
      <w:r>
        <w:rPr/>
        <w:t>sondeos</w:t>
      </w:r>
      <w:r>
        <w:rPr>
          <w:spacing w:val="-15"/>
        </w:rPr>
        <w:t> </w:t>
      </w:r>
      <w:r>
        <w:rPr/>
        <w:t>y</w:t>
      </w:r>
      <w:r>
        <w:rPr>
          <w:spacing w:val="-15"/>
        </w:rPr>
        <w:t> </w:t>
      </w:r>
      <w:r>
        <w:rPr/>
        <w:t>análisis.</w:t>
      </w:r>
      <w:r>
        <w:rPr>
          <w:spacing w:val="-15"/>
        </w:rPr>
        <w:t> </w:t>
      </w:r>
      <w:r>
        <w:rPr/>
        <w:t>Se</w:t>
      </w:r>
      <w:r>
        <w:rPr>
          <w:spacing w:val="-15"/>
        </w:rPr>
        <w:t> </w:t>
      </w:r>
      <w:r>
        <w:rPr/>
        <w:t>detalla</w:t>
      </w:r>
      <w:r>
        <w:rPr>
          <w:spacing w:val="-15"/>
        </w:rPr>
        <w:t> </w:t>
      </w:r>
      <w:r>
        <w:rPr/>
        <w:t>el</w:t>
      </w:r>
      <w:r>
        <w:rPr>
          <w:spacing w:val="-15"/>
        </w:rPr>
        <w:t> </w:t>
      </w:r>
      <w:r>
        <w:rPr/>
        <w:t>sistema</w:t>
      </w:r>
      <w:r>
        <w:rPr>
          <w:spacing w:val="-15"/>
        </w:rPr>
        <w:t> </w:t>
      </w:r>
      <w:r>
        <w:rPr/>
        <w:t>fiscal</w:t>
      </w:r>
      <w:r>
        <w:rPr>
          <w:spacing w:val="-15"/>
        </w:rPr>
        <w:t> </w:t>
      </w:r>
      <w:r>
        <w:rPr/>
        <w:t>desde la época incaica hasta la actualidad, subrayando la relevancia de cumplir con las obligaciones</w:t>
      </w:r>
      <w:r>
        <w:rPr>
          <w:spacing w:val="-12"/>
        </w:rPr>
        <w:t> </w:t>
      </w:r>
      <w:r>
        <w:rPr/>
        <w:t>fiscales</w:t>
      </w:r>
      <w:r>
        <w:rPr>
          <w:spacing w:val="-10"/>
        </w:rPr>
        <w:t> </w:t>
      </w:r>
      <w:r>
        <w:rPr/>
        <w:t>en</w:t>
      </w:r>
      <w:r>
        <w:rPr>
          <w:spacing w:val="-13"/>
        </w:rPr>
        <w:t> </w:t>
      </w:r>
      <w:r>
        <w:rPr/>
        <w:t>el</w:t>
      </w:r>
      <w:r>
        <w:rPr>
          <w:spacing w:val="-12"/>
        </w:rPr>
        <w:t> </w:t>
      </w:r>
      <w:r>
        <w:rPr/>
        <w:t>país.</w:t>
      </w:r>
      <w:r>
        <w:rPr>
          <w:spacing w:val="-10"/>
        </w:rPr>
        <w:t> </w:t>
      </w:r>
      <w:r>
        <w:rPr/>
        <w:t>Además,</w:t>
      </w:r>
      <w:r>
        <w:rPr>
          <w:spacing w:val="-12"/>
        </w:rPr>
        <w:t> </w:t>
      </w:r>
      <w:r>
        <w:rPr/>
        <w:t>se</w:t>
      </w:r>
      <w:r>
        <w:rPr>
          <w:spacing w:val="-13"/>
        </w:rPr>
        <w:t> </w:t>
      </w:r>
      <w:r>
        <w:rPr/>
        <w:t>conceptualizan</w:t>
      </w:r>
      <w:r>
        <w:rPr>
          <w:spacing w:val="-11"/>
        </w:rPr>
        <w:t> </w:t>
      </w:r>
      <w:r>
        <w:rPr/>
        <w:t>términos</w:t>
      </w:r>
      <w:r>
        <w:rPr>
          <w:spacing w:val="-8"/>
        </w:rPr>
        <w:t> </w:t>
      </w:r>
      <w:r>
        <w:rPr/>
        <w:t>relacionados que sirven como base legal para orientar la correcta determinación de los impuestos.</w:t>
      </w:r>
      <w:r>
        <w:rPr>
          <w:spacing w:val="-12"/>
        </w:rPr>
        <w:t> </w:t>
      </w:r>
      <w:r>
        <w:rPr/>
        <w:t>El</w:t>
      </w:r>
      <w:r>
        <w:rPr>
          <w:spacing w:val="-11"/>
        </w:rPr>
        <w:t> </w:t>
      </w:r>
      <w:r>
        <w:rPr/>
        <w:t>estudio</w:t>
      </w:r>
      <w:r>
        <w:rPr>
          <w:spacing w:val="-11"/>
        </w:rPr>
        <w:t> </w:t>
      </w:r>
      <w:r>
        <w:rPr/>
        <w:t>incluye</w:t>
      </w:r>
      <w:r>
        <w:rPr>
          <w:spacing w:val="-10"/>
        </w:rPr>
        <w:t> </w:t>
      </w:r>
      <w:r>
        <w:rPr/>
        <w:t>la</w:t>
      </w:r>
      <w:r>
        <w:rPr>
          <w:spacing w:val="-13"/>
        </w:rPr>
        <w:t> </w:t>
      </w:r>
      <w:r>
        <w:rPr/>
        <w:t>presentación</w:t>
      </w:r>
      <w:r>
        <w:rPr>
          <w:spacing w:val="-12"/>
        </w:rPr>
        <w:t> </w:t>
      </w:r>
      <w:r>
        <w:rPr/>
        <w:t>y</w:t>
      </w:r>
      <w:r>
        <w:rPr>
          <w:spacing w:val="-11"/>
        </w:rPr>
        <w:t> </w:t>
      </w:r>
      <w:r>
        <w:rPr/>
        <w:t>desarrollo</w:t>
      </w:r>
      <w:r>
        <w:rPr>
          <w:spacing w:val="-12"/>
        </w:rPr>
        <w:t> </w:t>
      </w:r>
      <w:r>
        <w:rPr/>
        <w:t>de</w:t>
      </w:r>
      <w:r>
        <w:rPr>
          <w:spacing w:val="-12"/>
        </w:rPr>
        <w:t> </w:t>
      </w:r>
      <w:r>
        <w:rPr/>
        <w:t>casos</w:t>
      </w:r>
      <w:r>
        <w:rPr>
          <w:spacing w:val="-11"/>
        </w:rPr>
        <w:t> </w:t>
      </w:r>
      <w:r>
        <w:rPr/>
        <w:t>prácticos</w:t>
      </w:r>
      <w:r>
        <w:rPr>
          <w:spacing w:val="-11"/>
        </w:rPr>
        <w:t> </w:t>
      </w:r>
      <w:r>
        <w:rPr>
          <w:spacing w:val="-2"/>
        </w:rPr>
        <w:t>sobre</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135" w:right="992"/>
        <w:jc w:val="both"/>
      </w:pPr>
      <w:r>
        <w:rPr/>
        <w:t>cómo determinar el tributo sobre la renta y el impuesto general sobre las ventas para</w:t>
      </w:r>
      <w:r>
        <w:rPr>
          <w:spacing w:val="-2"/>
        </w:rPr>
        <w:t> </w:t>
      </w:r>
      <w:r>
        <w:rPr/>
        <w:t>empresas</w:t>
      </w:r>
      <w:r>
        <w:rPr>
          <w:spacing w:val="-1"/>
        </w:rPr>
        <w:t> </w:t>
      </w:r>
      <w:r>
        <w:rPr/>
        <w:t>bajo el</w:t>
      </w:r>
      <w:r>
        <w:rPr>
          <w:spacing w:val="-2"/>
        </w:rPr>
        <w:t> </w:t>
      </w:r>
      <w:r>
        <w:rPr/>
        <w:t>régimen</w:t>
      </w:r>
      <w:r>
        <w:rPr>
          <w:spacing w:val="-1"/>
        </w:rPr>
        <w:t> </w:t>
      </w:r>
      <w:r>
        <w:rPr/>
        <w:t>MYPE</w:t>
      </w:r>
      <w:r>
        <w:rPr>
          <w:spacing w:val="-1"/>
        </w:rPr>
        <w:t> </w:t>
      </w:r>
      <w:r>
        <w:rPr/>
        <w:t>en el</w:t>
      </w:r>
      <w:r>
        <w:rPr>
          <w:spacing w:val="-2"/>
        </w:rPr>
        <w:t> </w:t>
      </w:r>
      <w:r>
        <w:rPr/>
        <w:t>periodo</w:t>
      </w:r>
      <w:r>
        <w:rPr>
          <w:spacing w:val="-1"/>
        </w:rPr>
        <w:t> </w:t>
      </w:r>
      <w:r>
        <w:rPr/>
        <w:t>2021.</w:t>
      </w:r>
      <w:r>
        <w:rPr>
          <w:spacing w:val="-1"/>
        </w:rPr>
        <w:t> </w:t>
      </w:r>
      <w:r>
        <w:rPr/>
        <w:t>Se aplica la normativa específica</w:t>
      </w:r>
      <w:r>
        <w:rPr>
          <w:spacing w:val="-15"/>
        </w:rPr>
        <w:t> </w:t>
      </w:r>
      <w:r>
        <w:rPr/>
        <w:t>de</w:t>
      </w:r>
      <w:r>
        <w:rPr>
          <w:spacing w:val="-15"/>
        </w:rPr>
        <w:t> </w:t>
      </w:r>
      <w:r>
        <w:rPr/>
        <w:t>la</w:t>
      </w:r>
      <w:r>
        <w:rPr>
          <w:spacing w:val="-15"/>
        </w:rPr>
        <w:t> </w:t>
      </w:r>
      <w:r>
        <w:rPr/>
        <w:t>empresa</w:t>
      </w:r>
      <w:r>
        <w:rPr>
          <w:spacing w:val="-15"/>
        </w:rPr>
        <w:t> </w:t>
      </w:r>
      <w:r>
        <w:rPr/>
        <w:t>Inversiones</w:t>
      </w:r>
      <w:r>
        <w:rPr>
          <w:spacing w:val="-15"/>
        </w:rPr>
        <w:t> </w:t>
      </w:r>
      <w:r>
        <w:rPr/>
        <w:t>&amp;</w:t>
      </w:r>
      <w:r>
        <w:rPr>
          <w:spacing w:val="-15"/>
        </w:rPr>
        <w:t> </w:t>
      </w:r>
      <w:r>
        <w:rPr/>
        <w:t>Negociaciones</w:t>
      </w:r>
      <w:r>
        <w:rPr>
          <w:spacing w:val="-15"/>
        </w:rPr>
        <w:t> </w:t>
      </w:r>
      <w:r>
        <w:rPr/>
        <w:t>Aldo</w:t>
      </w:r>
      <w:r>
        <w:rPr>
          <w:spacing w:val="-15"/>
        </w:rPr>
        <w:t> </w:t>
      </w:r>
      <w:r>
        <w:rPr/>
        <w:t>Rosel</w:t>
      </w:r>
      <w:r>
        <w:rPr>
          <w:spacing w:val="-15"/>
        </w:rPr>
        <w:t> </w:t>
      </w:r>
      <w:r>
        <w:rPr/>
        <w:t>EIRL,</w:t>
      </w:r>
      <w:r>
        <w:rPr>
          <w:spacing w:val="-15"/>
        </w:rPr>
        <w:t> </w:t>
      </w:r>
      <w:r>
        <w:rPr/>
        <w:t>teniendo en cuenta los índices de la legislación pertinente relacionados con el impuesto general</w:t>
      </w:r>
      <w:r>
        <w:rPr>
          <w:spacing w:val="-2"/>
        </w:rPr>
        <w:t> </w:t>
      </w:r>
      <w:r>
        <w:rPr/>
        <w:t>sobre</w:t>
      </w:r>
      <w:r>
        <w:rPr>
          <w:spacing w:val="-1"/>
        </w:rPr>
        <w:t> </w:t>
      </w:r>
      <w:r>
        <w:rPr/>
        <w:t>las ventas y</w:t>
      </w:r>
      <w:r>
        <w:rPr>
          <w:spacing w:val="-1"/>
        </w:rPr>
        <w:t> </w:t>
      </w:r>
      <w:r>
        <w:rPr/>
        <w:t>el</w:t>
      </w:r>
      <w:r>
        <w:rPr>
          <w:spacing w:val="-2"/>
        </w:rPr>
        <w:t> </w:t>
      </w:r>
      <w:r>
        <w:rPr/>
        <w:t>tributo</w:t>
      </w:r>
      <w:r>
        <w:rPr>
          <w:spacing w:val="-1"/>
        </w:rPr>
        <w:t> </w:t>
      </w:r>
      <w:r>
        <w:rPr/>
        <w:t>a</w:t>
      </w:r>
      <w:r>
        <w:rPr>
          <w:spacing w:val="-1"/>
        </w:rPr>
        <w:t> </w:t>
      </w:r>
      <w:r>
        <w:rPr/>
        <w:t>la</w:t>
      </w:r>
      <w:r>
        <w:rPr>
          <w:spacing w:val="-2"/>
        </w:rPr>
        <w:t> </w:t>
      </w:r>
      <w:r>
        <w:rPr/>
        <w:t>renta</w:t>
      </w:r>
      <w:r>
        <w:rPr>
          <w:spacing w:val="-1"/>
        </w:rPr>
        <w:t> </w:t>
      </w:r>
      <w:r>
        <w:rPr/>
        <w:t>en</w:t>
      </w:r>
      <w:r>
        <w:rPr>
          <w:spacing w:val="-1"/>
        </w:rPr>
        <w:t> </w:t>
      </w:r>
      <w:r>
        <w:rPr/>
        <w:t>el</w:t>
      </w:r>
      <w:r>
        <w:rPr>
          <w:spacing w:val="-2"/>
        </w:rPr>
        <w:t> </w:t>
      </w:r>
      <w:r>
        <w:rPr/>
        <w:t>marco</w:t>
      </w:r>
      <w:r>
        <w:rPr>
          <w:spacing w:val="-1"/>
        </w:rPr>
        <w:t> </w:t>
      </w:r>
      <w:r>
        <w:rPr/>
        <w:t>del</w:t>
      </w:r>
      <w:r>
        <w:rPr>
          <w:spacing w:val="-2"/>
        </w:rPr>
        <w:t> </w:t>
      </w:r>
      <w:r>
        <w:rPr/>
        <w:t>sistema</w:t>
      </w:r>
      <w:r>
        <w:rPr>
          <w:spacing w:val="-1"/>
        </w:rPr>
        <w:t> </w:t>
      </w:r>
      <w:r>
        <w:rPr/>
        <w:t>tributario a la renta de tercera categoría y MYPE, así como sus anexos.</w:t>
      </w:r>
    </w:p>
    <w:p>
      <w:pPr>
        <w:pStyle w:val="BodyText"/>
        <w:spacing w:line="480" w:lineRule="auto" w:before="1"/>
        <w:ind w:left="1135" w:right="988" w:firstLine="720"/>
        <w:jc w:val="both"/>
      </w:pPr>
      <w:r>
        <w:rPr/>
        <w:t>Espinoza &amp; Acuña (2021), en su tesis: “La Estrategia Económica como elemento</w:t>
      </w:r>
      <w:r>
        <w:rPr>
          <w:spacing w:val="-9"/>
        </w:rPr>
        <w:t> </w:t>
      </w:r>
      <w:r>
        <w:rPr/>
        <w:t>clave</w:t>
      </w:r>
      <w:r>
        <w:rPr>
          <w:spacing w:val="-9"/>
        </w:rPr>
        <w:t> </w:t>
      </w:r>
      <w:r>
        <w:rPr/>
        <w:t>en</w:t>
      </w:r>
      <w:r>
        <w:rPr>
          <w:spacing w:val="-9"/>
        </w:rPr>
        <w:t> </w:t>
      </w:r>
      <w:r>
        <w:rPr/>
        <w:t>el</w:t>
      </w:r>
      <w:r>
        <w:rPr>
          <w:spacing w:val="-8"/>
        </w:rPr>
        <w:t> </w:t>
      </w:r>
      <w:r>
        <w:rPr/>
        <w:t>avance</w:t>
      </w:r>
      <w:r>
        <w:rPr>
          <w:spacing w:val="-10"/>
        </w:rPr>
        <w:t> </w:t>
      </w:r>
      <w:r>
        <w:rPr/>
        <w:t>de</w:t>
      </w:r>
      <w:r>
        <w:rPr>
          <w:spacing w:val="-9"/>
        </w:rPr>
        <w:t> </w:t>
      </w:r>
      <w:r>
        <w:rPr/>
        <w:t>la</w:t>
      </w:r>
      <w:r>
        <w:rPr>
          <w:spacing w:val="-9"/>
        </w:rPr>
        <w:t> </w:t>
      </w:r>
      <w:r>
        <w:rPr/>
        <w:t>economía</w:t>
      </w:r>
      <w:r>
        <w:rPr>
          <w:spacing w:val="-10"/>
        </w:rPr>
        <w:t> </w:t>
      </w:r>
      <w:r>
        <w:rPr/>
        <w:t>del</w:t>
      </w:r>
      <w:r>
        <w:rPr>
          <w:spacing w:val="-10"/>
        </w:rPr>
        <w:t> </w:t>
      </w:r>
      <w:r>
        <w:rPr/>
        <w:t>Perú</w:t>
      </w:r>
      <w:r>
        <w:rPr>
          <w:spacing w:val="-8"/>
        </w:rPr>
        <w:t> </w:t>
      </w:r>
      <w:r>
        <w:rPr/>
        <w:t>2008-2018.”</w:t>
      </w:r>
      <w:r>
        <w:rPr>
          <w:spacing w:val="-9"/>
        </w:rPr>
        <w:t> </w:t>
      </w:r>
      <w:r>
        <w:rPr/>
        <w:t>El</w:t>
      </w:r>
      <w:r>
        <w:rPr>
          <w:spacing w:val="-10"/>
        </w:rPr>
        <w:t> </w:t>
      </w:r>
      <w:r>
        <w:rPr/>
        <w:t>estudio</w:t>
      </w:r>
      <w:r>
        <w:rPr>
          <w:spacing w:val="-8"/>
        </w:rPr>
        <w:t> </w:t>
      </w:r>
      <w:r>
        <w:rPr/>
        <w:t>tiene como objetivo principal analizar el efecto de la elusión fiscal en la recaudación tributaria durante la pandemia de COVID-19, centrándose entre los vendedores de productos de abarrotes del mercado Maltería en el año 2021. La elusión fiscal sigue siendo un problema significativo en Perú y en toda Latinoamérica, ya que representa una de las principales razones detrás de la disminución en la recaudación tributaria y, por ende, impacta los ingresos del Estado. Para realizar este estudio, se eligió una metodología de enfoque cuantitativo, de naturaleza fundamental y con un grado descriptivo-correlativo. Se aplicó un enfoque inductivo-deductivo y un enfoque sin experimentación para realizar un análisis detallado de los factores. La población tema de investigación estuvo compuesta por</w:t>
      </w:r>
      <w:r>
        <w:rPr>
          <w:spacing w:val="-4"/>
        </w:rPr>
        <w:t> </w:t>
      </w:r>
      <w:r>
        <w:rPr/>
        <w:t>los</w:t>
      </w:r>
      <w:r>
        <w:rPr>
          <w:spacing w:val="-4"/>
        </w:rPr>
        <w:t> </w:t>
      </w:r>
      <w:r>
        <w:rPr/>
        <w:t>vendedores</w:t>
      </w:r>
      <w:r>
        <w:rPr>
          <w:spacing w:val="-4"/>
        </w:rPr>
        <w:t> </w:t>
      </w:r>
      <w:r>
        <w:rPr/>
        <w:t>de</w:t>
      </w:r>
      <w:r>
        <w:rPr>
          <w:spacing w:val="-4"/>
        </w:rPr>
        <w:t> </w:t>
      </w:r>
      <w:r>
        <w:rPr/>
        <w:t>productos</w:t>
      </w:r>
      <w:r>
        <w:rPr>
          <w:spacing w:val="-4"/>
        </w:rPr>
        <w:t> </w:t>
      </w:r>
      <w:r>
        <w:rPr/>
        <w:t>de</w:t>
      </w:r>
      <w:r>
        <w:rPr>
          <w:spacing w:val="-4"/>
        </w:rPr>
        <w:t> </w:t>
      </w:r>
      <w:r>
        <w:rPr/>
        <w:t>productos</w:t>
      </w:r>
      <w:r>
        <w:rPr>
          <w:spacing w:val="-4"/>
        </w:rPr>
        <w:t> </w:t>
      </w:r>
      <w:r>
        <w:rPr/>
        <w:t>de</w:t>
      </w:r>
      <w:r>
        <w:rPr>
          <w:spacing w:val="-4"/>
        </w:rPr>
        <w:t> </w:t>
      </w:r>
      <w:r>
        <w:rPr/>
        <w:t>abarrotes</w:t>
      </w:r>
      <w:r>
        <w:rPr>
          <w:spacing w:val="-4"/>
        </w:rPr>
        <w:t> </w:t>
      </w:r>
      <w:r>
        <w:rPr/>
        <w:t>del</w:t>
      </w:r>
      <w:r>
        <w:rPr>
          <w:spacing w:val="-3"/>
        </w:rPr>
        <w:t> </w:t>
      </w:r>
      <w:r>
        <w:rPr/>
        <w:t>mercado</w:t>
      </w:r>
      <w:r>
        <w:rPr>
          <w:spacing w:val="-4"/>
        </w:rPr>
        <w:t> </w:t>
      </w:r>
      <w:r>
        <w:rPr/>
        <w:t>Maltería, y se utilizó un muestreo total que abarcó a 35 vendedores. La recolección de información</w:t>
      </w:r>
      <w:r>
        <w:rPr>
          <w:spacing w:val="-13"/>
        </w:rPr>
        <w:t> </w:t>
      </w:r>
      <w:r>
        <w:rPr/>
        <w:t>se</w:t>
      </w:r>
      <w:r>
        <w:rPr>
          <w:spacing w:val="-13"/>
        </w:rPr>
        <w:t> </w:t>
      </w:r>
      <w:r>
        <w:rPr/>
        <w:t>realizó</w:t>
      </w:r>
      <w:r>
        <w:rPr>
          <w:spacing w:val="-13"/>
        </w:rPr>
        <w:t> </w:t>
      </w:r>
      <w:r>
        <w:rPr/>
        <w:t>a</w:t>
      </w:r>
      <w:r>
        <w:rPr>
          <w:spacing w:val="-13"/>
        </w:rPr>
        <w:t> </w:t>
      </w:r>
      <w:r>
        <w:rPr/>
        <w:t>través</w:t>
      </w:r>
      <w:r>
        <w:rPr>
          <w:spacing w:val="-13"/>
        </w:rPr>
        <w:t> </w:t>
      </w:r>
      <w:r>
        <w:rPr/>
        <w:t>de</w:t>
      </w:r>
      <w:r>
        <w:rPr>
          <w:spacing w:val="-13"/>
        </w:rPr>
        <w:t> </w:t>
      </w:r>
      <w:r>
        <w:rPr/>
        <w:t>sondeos,</w:t>
      </w:r>
      <w:r>
        <w:rPr>
          <w:spacing w:val="-13"/>
        </w:rPr>
        <w:t> </w:t>
      </w:r>
      <w:r>
        <w:rPr/>
        <w:t>empleando</w:t>
      </w:r>
      <w:r>
        <w:rPr>
          <w:spacing w:val="-13"/>
        </w:rPr>
        <w:t> </w:t>
      </w:r>
      <w:r>
        <w:rPr/>
        <w:t>un</w:t>
      </w:r>
      <w:r>
        <w:rPr>
          <w:spacing w:val="-13"/>
        </w:rPr>
        <w:t> </w:t>
      </w:r>
      <w:r>
        <w:rPr/>
        <w:t>formulario</w:t>
      </w:r>
      <w:r>
        <w:rPr>
          <w:spacing w:val="-13"/>
        </w:rPr>
        <w:t> </w:t>
      </w:r>
      <w:r>
        <w:rPr/>
        <w:t>que</w:t>
      </w:r>
      <w:r>
        <w:rPr>
          <w:spacing w:val="-13"/>
        </w:rPr>
        <w:t> </w:t>
      </w:r>
      <w:r>
        <w:rPr/>
        <w:t>contenía 28 preguntas con una escala de medición nominal, abordando tanto la evasión tributaria como la recaudación fiscal.</w:t>
      </w:r>
    </w:p>
    <w:p>
      <w:pPr>
        <w:pStyle w:val="BodyText"/>
        <w:spacing w:line="480" w:lineRule="auto"/>
        <w:ind w:left="1135" w:right="995" w:firstLine="720"/>
        <w:jc w:val="both"/>
      </w:pPr>
      <w:r>
        <w:rPr/>
        <w:t>Romero (2020) desarrolló el estudio “La realización de un abono por adelantado</w:t>
      </w:r>
      <w:r>
        <w:rPr>
          <w:spacing w:val="3"/>
        </w:rPr>
        <w:t> </w:t>
      </w:r>
      <w:r>
        <w:rPr/>
        <w:t>duplicado</w:t>
      </w:r>
      <w:r>
        <w:rPr>
          <w:spacing w:val="4"/>
        </w:rPr>
        <w:t> </w:t>
      </w:r>
      <w:r>
        <w:rPr/>
        <w:t>del</w:t>
      </w:r>
      <w:r>
        <w:rPr>
          <w:spacing w:val="2"/>
        </w:rPr>
        <w:t> </w:t>
      </w:r>
      <w:r>
        <w:rPr/>
        <w:t>gravamen</w:t>
      </w:r>
      <w:r>
        <w:rPr>
          <w:spacing w:val="4"/>
        </w:rPr>
        <w:t> </w:t>
      </w:r>
      <w:r>
        <w:rPr/>
        <w:t>general</w:t>
      </w:r>
      <w:r>
        <w:rPr>
          <w:spacing w:val="3"/>
        </w:rPr>
        <w:t> </w:t>
      </w:r>
      <w:r>
        <w:rPr/>
        <w:t>sobre</w:t>
      </w:r>
      <w:r>
        <w:rPr>
          <w:spacing w:val="3"/>
        </w:rPr>
        <w:t> </w:t>
      </w:r>
      <w:r>
        <w:rPr/>
        <w:t>las</w:t>
      </w:r>
      <w:r>
        <w:rPr>
          <w:spacing w:val="5"/>
        </w:rPr>
        <w:t> </w:t>
      </w:r>
      <w:r>
        <w:rPr/>
        <w:t>ventas</w:t>
      </w:r>
      <w:r>
        <w:rPr>
          <w:spacing w:val="4"/>
        </w:rPr>
        <w:t> </w:t>
      </w:r>
      <w:r>
        <w:rPr/>
        <w:t>afecta</w:t>
      </w:r>
      <w:r>
        <w:rPr>
          <w:spacing w:val="3"/>
        </w:rPr>
        <w:t> </w:t>
      </w:r>
      <w:r>
        <w:rPr/>
        <w:t>la</w:t>
      </w:r>
      <w:r>
        <w:rPr>
          <w:spacing w:val="3"/>
        </w:rPr>
        <w:t> </w:t>
      </w:r>
      <w:r>
        <w:rPr/>
        <w:t>liquidez</w:t>
      </w:r>
      <w:r>
        <w:rPr>
          <w:spacing w:val="3"/>
        </w:rPr>
        <w:t> </w:t>
      </w:r>
      <w:r>
        <w:rPr>
          <w:spacing w:val="-5"/>
        </w:rPr>
        <w:t>en</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135" w:right="991"/>
        <w:jc w:val="both"/>
      </w:pPr>
      <w:r>
        <w:rPr/>
        <w:t>las compañías que importan elementos metálicos.” En esta investigación, se determina que las compañías que importan estructuras metálicas enfrentan complicaciones debido a las disposiciones fiscales que rigen el abono anticipado del impuesto sobre las ventas. (IGV). El proceso comienza mediante la implementación del sistema de percepciones en las importaciones, que se activa cuando</w:t>
      </w:r>
      <w:r>
        <w:rPr>
          <w:spacing w:val="-7"/>
        </w:rPr>
        <w:t> </w:t>
      </w:r>
      <w:r>
        <w:rPr/>
        <w:t>las</w:t>
      </w:r>
      <w:r>
        <w:rPr>
          <w:spacing w:val="-7"/>
        </w:rPr>
        <w:t> </w:t>
      </w:r>
      <w:r>
        <w:rPr/>
        <w:t>compañías</w:t>
      </w:r>
      <w:r>
        <w:rPr>
          <w:spacing w:val="-7"/>
        </w:rPr>
        <w:t> </w:t>
      </w:r>
      <w:r>
        <w:rPr/>
        <w:t>nacionalizan</w:t>
      </w:r>
      <w:r>
        <w:rPr>
          <w:spacing w:val="-7"/>
        </w:rPr>
        <w:t> </w:t>
      </w:r>
      <w:r>
        <w:rPr/>
        <w:t>sus</w:t>
      </w:r>
      <w:r>
        <w:rPr>
          <w:spacing w:val="-6"/>
        </w:rPr>
        <w:t> </w:t>
      </w:r>
      <w:r>
        <w:rPr/>
        <w:t>mercaderías.</w:t>
      </w:r>
      <w:r>
        <w:rPr>
          <w:spacing w:val="-7"/>
        </w:rPr>
        <w:t> </w:t>
      </w:r>
      <w:r>
        <w:rPr/>
        <w:t>En</w:t>
      </w:r>
      <w:r>
        <w:rPr>
          <w:spacing w:val="-7"/>
        </w:rPr>
        <w:t> </w:t>
      </w:r>
      <w:r>
        <w:rPr/>
        <w:t>esta</w:t>
      </w:r>
      <w:r>
        <w:rPr>
          <w:spacing w:val="-8"/>
        </w:rPr>
        <w:t> </w:t>
      </w:r>
      <w:r>
        <w:rPr/>
        <w:t>etapa,</w:t>
      </w:r>
      <w:r>
        <w:rPr>
          <w:spacing w:val="-7"/>
        </w:rPr>
        <w:t> </w:t>
      </w:r>
      <w:r>
        <w:rPr/>
        <w:t>deben</w:t>
      </w:r>
      <w:r>
        <w:rPr>
          <w:spacing w:val="-7"/>
        </w:rPr>
        <w:t> </w:t>
      </w:r>
      <w:r>
        <w:rPr/>
        <w:t>realizar un pago anticipado del IGV. Posteriormente, al vender estas mercaderías a sus clientes — que actúan como responsables de retención asignados por la Administración Fiscal — se retiene un porcentaje del 3% del valor de la venta como pago adelantado del IGV. Este procedimiento genera un doble pago anticipado que afecta de manera adversa la liquidez de las compañías importadoras.</w:t>
      </w:r>
      <w:r>
        <w:rPr>
          <w:spacing w:val="-11"/>
        </w:rPr>
        <w:t> </w:t>
      </w:r>
      <w:r>
        <w:rPr/>
        <w:t>Este</w:t>
      </w:r>
      <w:r>
        <w:rPr>
          <w:spacing w:val="-11"/>
        </w:rPr>
        <w:t> </w:t>
      </w:r>
      <w:r>
        <w:rPr/>
        <w:t>estudio</w:t>
      </w:r>
      <w:r>
        <w:rPr>
          <w:spacing w:val="-11"/>
        </w:rPr>
        <w:t> </w:t>
      </w:r>
      <w:r>
        <w:rPr/>
        <w:t>se</w:t>
      </w:r>
      <w:r>
        <w:rPr>
          <w:spacing w:val="-11"/>
        </w:rPr>
        <w:t> </w:t>
      </w:r>
      <w:r>
        <w:rPr/>
        <w:t>categoriza</w:t>
      </w:r>
      <w:r>
        <w:rPr>
          <w:spacing w:val="-11"/>
        </w:rPr>
        <w:t> </w:t>
      </w:r>
      <w:r>
        <w:rPr/>
        <w:t>como</w:t>
      </w:r>
      <w:r>
        <w:rPr>
          <w:spacing w:val="-11"/>
        </w:rPr>
        <w:t> </w:t>
      </w:r>
      <w:r>
        <w:rPr/>
        <w:t>cuantitativo</w:t>
      </w:r>
      <w:r>
        <w:rPr>
          <w:spacing w:val="-11"/>
        </w:rPr>
        <w:t> </w:t>
      </w:r>
      <w:r>
        <w:rPr/>
        <w:t>y</w:t>
      </w:r>
      <w:r>
        <w:rPr>
          <w:spacing w:val="-11"/>
        </w:rPr>
        <w:t> </w:t>
      </w:r>
      <w:r>
        <w:rPr/>
        <w:t>de</w:t>
      </w:r>
      <w:r>
        <w:rPr>
          <w:spacing w:val="-11"/>
        </w:rPr>
        <w:t> </w:t>
      </w:r>
      <w:r>
        <w:rPr/>
        <w:t>carácter</w:t>
      </w:r>
      <w:r>
        <w:rPr>
          <w:spacing w:val="-11"/>
        </w:rPr>
        <w:t> </w:t>
      </w:r>
      <w:r>
        <w:rPr/>
        <w:t>aplicado, empleando un diseño retrospectivo, no experimental y de tipo longitudinal. Se utilizó</w:t>
      </w:r>
      <w:r>
        <w:rPr>
          <w:spacing w:val="-10"/>
        </w:rPr>
        <w:t> </w:t>
      </w:r>
      <w:r>
        <w:rPr/>
        <w:t>un</w:t>
      </w:r>
      <w:r>
        <w:rPr>
          <w:spacing w:val="-9"/>
        </w:rPr>
        <w:t> </w:t>
      </w:r>
      <w:r>
        <w:rPr/>
        <w:t>enfoque</w:t>
      </w:r>
      <w:r>
        <w:rPr>
          <w:spacing w:val="-10"/>
        </w:rPr>
        <w:t> </w:t>
      </w:r>
      <w:r>
        <w:rPr/>
        <w:t>descriptivo.</w:t>
      </w:r>
      <w:r>
        <w:rPr>
          <w:spacing w:val="-9"/>
        </w:rPr>
        <w:t> </w:t>
      </w:r>
      <w:r>
        <w:rPr/>
        <w:t>A</w:t>
      </w:r>
      <w:r>
        <w:rPr>
          <w:spacing w:val="-9"/>
        </w:rPr>
        <w:t> </w:t>
      </w:r>
      <w:r>
        <w:rPr/>
        <w:t>partir</w:t>
      </w:r>
      <w:r>
        <w:rPr>
          <w:spacing w:val="-9"/>
        </w:rPr>
        <w:t> </w:t>
      </w:r>
      <w:r>
        <w:rPr/>
        <w:t>de</w:t>
      </w:r>
      <w:r>
        <w:rPr>
          <w:spacing w:val="-8"/>
        </w:rPr>
        <w:t> </w:t>
      </w:r>
      <w:r>
        <w:rPr/>
        <w:t>este</w:t>
      </w:r>
      <w:r>
        <w:rPr>
          <w:spacing w:val="-11"/>
        </w:rPr>
        <w:t> </w:t>
      </w:r>
      <w:r>
        <w:rPr/>
        <w:t>estudio,</w:t>
      </w:r>
      <w:r>
        <w:rPr>
          <w:spacing w:val="-9"/>
        </w:rPr>
        <w:t> </w:t>
      </w:r>
      <w:r>
        <w:rPr/>
        <w:t>se</w:t>
      </w:r>
      <w:r>
        <w:rPr>
          <w:spacing w:val="-9"/>
        </w:rPr>
        <w:t> </w:t>
      </w:r>
      <w:r>
        <w:rPr/>
        <w:t>demuestra</w:t>
      </w:r>
      <w:r>
        <w:rPr>
          <w:spacing w:val="-11"/>
        </w:rPr>
        <w:t> </w:t>
      </w:r>
      <w:r>
        <w:rPr/>
        <w:t>que</w:t>
      </w:r>
      <w:r>
        <w:rPr>
          <w:spacing w:val="-10"/>
        </w:rPr>
        <w:t> </w:t>
      </w:r>
      <w:r>
        <w:rPr/>
        <w:t>el</w:t>
      </w:r>
      <w:r>
        <w:rPr>
          <w:spacing w:val="-9"/>
        </w:rPr>
        <w:t> </w:t>
      </w:r>
      <w:r>
        <w:rPr/>
        <w:t>abono anticipado duplicado del IGV impacta de manera significativa la liquidez de las empresas que importan estructuras metálicas</w:t>
      </w:r>
    </w:p>
    <w:p>
      <w:pPr>
        <w:pStyle w:val="Heading3"/>
        <w:numPr>
          <w:ilvl w:val="1"/>
          <w:numId w:val="10"/>
        </w:numPr>
        <w:tabs>
          <w:tab w:pos="568" w:val="left" w:leader="none"/>
        </w:tabs>
        <w:spacing w:line="240" w:lineRule="auto" w:before="2" w:after="0"/>
        <w:ind w:left="568" w:right="0" w:hanging="425"/>
        <w:jc w:val="both"/>
      </w:pPr>
      <w:bookmarkStart w:name="_bookmark28" w:id="29"/>
      <w:bookmarkEnd w:id="29"/>
      <w:r>
        <w:rPr>
          <w:b w:val="0"/>
        </w:rPr>
      </w:r>
      <w:r>
        <w:rPr/>
        <w:t>Bases </w:t>
      </w:r>
      <w:r>
        <w:rPr>
          <w:spacing w:val="-2"/>
        </w:rPr>
        <w:t>teóricas</w:t>
      </w:r>
    </w:p>
    <w:p>
      <w:pPr>
        <w:pStyle w:val="BodyText"/>
        <w:rPr>
          <w:b/>
        </w:rPr>
      </w:pPr>
    </w:p>
    <w:p>
      <w:pPr>
        <w:pStyle w:val="Heading4"/>
        <w:numPr>
          <w:ilvl w:val="2"/>
          <w:numId w:val="10"/>
        </w:numPr>
        <w:tabs>
          <w:tab w:pos="1033" w:val="left" w:leader="none"/>
        </w:tabs>
        <w:spacing w:line="240" w:lineRule="auto" w:before="0" w:after="0"/>
        <w:ind w:left="1033" w:right="0" w:hanging="606"/>
        <w:jc w:val="left"/>
      </w:pPr>
      <w:bookmarkStart w:name="_bookmark29" w:id="30"/>
      <w:bookmarkEnd w:id="30"/>
      <w:r>
        <w:rPr>
          <w:b w:val="0"/>
          <w:i w:val="0"/>
        </w:rPr>
      </w:r>
      <w:r>
        <w:rPr/>
        <w:t>Impuesto</w:t>
      </w:r>
      <w:r>
        <w:rPr>
          <w:spacing w:val="-1"/>
        </w:rPr>
        <w:t> </w:t>
      </w:r>
      <w:r>
        <w:rPr/>
        <w:t>general de las </w:t>
      </w:r>
      <w:r>
        <w:rPr>
          <w:spacing w:val="-2"/>
        </w:rPr>
        <w:t>ventas</w:t>
      </w:r>
    </w:p>
    <w:p>
      <w:pPr>
        <w:pStyle w:val="BodyText"/>
        <w:rPr>
          <w:b/>
          <w:i/>
        </w:rPr>
      </w:pPr>
    </w:p>
    <w:p>
      <w:pPr>
        <w:pStyle w:val="BodyText"/>
        <w:spacing w:line="480" w:lineRule="auto"/>
        <w:ind w:left="1135" w:right="990" w:firstLine="720"/>
        <w:jc w:val="both"/>
      </w:pPr>
      <w:r>
        <w:rPr/>
        <w:t>Según la Autoridad Nacional de Administración Fiscal (2021), el IGV tiene 18% sobre la venta de activos, la provisión de servicios, el uso de servicios en el exterior y la importación de bienes. Este impuesto puede influir en la actividad económica de los comerciantes, afectando su solidez económica y su habilidad para cumplir con sus obligaciones tributarias.</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135" w:right="994" w:firstLine="720"/>
        <w:jc w:val="both"/>
      </w:pPr>
      <w:r>
        <w:rPr/>
        <w:t>Naturaleza del IGV: "El IGV es un tributo indirecto que se impone sobre el valor de las transacciones comerciales y se incluye en el precio final al consumidor." (Alcázar, 2017)</w:t>
      </w:r>
    </w:p>
    <w:p>
      <w:pPr>
        <w:pStyle w:val="BodyText"/>
        <w:spacing w:line="480" w:lineRule="auto" w:before="1"/>
        <w:ind w:left="1135" w:right="992" w:firstLine="720"/>
        <w:jc w:val="both"/>
      </w:pPr>
      <w:r>
        <w:rPr/>
        <w:t>Objetivo del IGV: "El IGV busca obtener recursos fiscales para la financiación</w:t>
      </w:r>
      <w:r>
        <w:rPr>
          <w:spacing w:val="-8"/>
        </w:rPr>
        <w:t> </w:t>
      </w:r>
      <w:r>
        <w:rPr/>
        <w:t>del</w:t>
      </w:r>
      <w:r>
        <w:rPr>
          <w:spacing w:val="-8"/>
        </w:rPr>
        <w:t> </w:t>
      </w:r>
      <w:r>
        <w:rPr/>
        <w:t>costo</w:t>
      </w:r>
      <w:r>
        <w:rPr>
          <w:spacing w:val="-8"/>
        </w:rPr>
        <w:t> </w:t>
      </w:r>
      <w:r>
        <w:rPr/>
        <w:t>estatal,</w:t>
      </w:r>
      <w:r>
        <w:rPr>
          <w:spacing w:val="-8"/>
        </w:rPr>
        <w:t> </w:t>
      </w:r>
      <w:r>
        <w:rPr/>
        <w:t>constituyendo</w:t>
      </w:r>
      <w:r>
        <w:rPr>
          <w:spacing w:val="-8"/>
        </w:rPr>
        <w:t> </w:t>
      </w:r>
      <w:r>
        <w:rPr/>
        <w:t>una</w:t>
      </w:r>
      <w:r>
        <w:rPr>
          <w:spacing w:val="-8"/>
        </w:rPr>
        <w:t> </w:t>
      </w:r>
      <w:r>
        <w:rPr/>
        <w:t>de</w:t>
      </w:r>
      <w:r>
        <w:rPr>
          <w:spacing w:val="-8"/>
        </w:rPr>
        <w:t> </w:t>
      </w:r>
      <w:r>
        <w:rPr/>
        <w:t>las</w:t>
      </w:r>
      <w:r>
        <w:rPr>
          <w:spacing w:val="-7"/>
        </w:rPr>
        <w:t> </w:t>
      </w:r>
      <w:r>
        <w:rPr/>
        <w:t>primordiales</w:t>
      </w:r>
      <w:r>
        <w:rPr>
          <w:spacing w:val="-7"/>
        </w:rPr>
        <w:t> </w:t>
      </w:r>
      <w:r>
        <w:rPr/>
        <w:t>corrientes</w:t>
      </w:r>
      <w:r>
        <w:rPr>
          <w:spacing w:val="-7"/>
        </w:rPr>
        <w:t> </w:t>
      </w:r>
      <w:r>
        <w:rPr/>
        <w:t>de beneficios del Gobierno." (Ministerio de Economía y Finanzas [MEF], 2020).</w:t>
      </w:r>
    </w:p>
    <w:p>
      <w:pPr>
        <w:pStyle w:val="BodyText"/>
        <w:spacing w:line="480" w:lineRule="auto"/>
        <w:ind w:left="1135" w:right="993" w:firstLine="720"/>
        <w:jc w:val="both"/>
      </w:pPr>
      <w:r>
        <w:rPr/>
        <w:t>Tasa</w:t>
      </w:r>
      <w:r>
        <w:rPr>
          <w:spacing w:val="-12"/>
        </w:rPr>
        <w:t> </w:t>
      </w:r>
      <w:r>
        <w:rPr/>
        <w:t>del</w:t>
      </w:r>
      <w:r>
        <w:rPr>
          <w:spacing w:val="-14"/>
        </w:rPr>
        <w:t> </w:t>
      </w:r>
      <w:r>
        <w:rPr/>
        <w:t>IGV:</w:t>
      </w:r>
      <w:r>
        <w:rPr>
          <w:spacing w:val="-13"/>
        </w:rPr>
        <w:t> </w:t>
      </w:r>
      <w:r>
        <w:rPr/>
        <w:t>El</w:t>
      </w:r>
      <w:r>
        <w:rPr>
          <w:spacing w:val="-14"/>
        </w:rPr>
        <w:t> </w:t>
      </w:r>
      <w:r>
        <w:rPr/>
        <w:t>IGV</w:t>
      </w:r>
      <w:r>
        <w:rPr>
          <w:spacing w:val="-12"/>
        </w:rPr>
        <w:t> </w:t>
      </w:r>
      <w:r>
        <w:rPr/>
        <w:t>se</w:t>
      </w:r>
      <w:r>
        <w:rPr>
          <w:spacing w:val="-12"/>
        </w:rPr>
        <w:t> </w:t>
      </w:r>
      <w:r>
        <w:rPr/>
        <w:t>aplica</w:t>
      </w:r>
      <w:r>
        <w:rPr>
          <w:spacing w:val="-13"/>
        </w:rPr>
        <w:t> </w:t>
      </w:r>
      <w:r>
        <w:rPr/>
        <w:t>a</w:t>
      </w:r>
      <w:r>
        <w:rPr>
          <w:spacing w:val="-13"/>
        </w:rPr>
        <w:t> </w:t>
      </w:r>
      <w:r>
        <w:rPr/>
        <w:t>una</w:t>
      </w:r>
      <w:r>
        <w:rPr>
          <w:spacing w:val="-13"/>
        </w:rPr>
        <w:t> </w:t>
      </w:r>
      <w:r>
        <w:rPr/>
        <w:t>tasa</w:t>
      </w:r>
      <w:r>
        <w:rPr>
          <w:spacing w:val="-11"/>
        </w:rPr>
        <w:t> </w:t>
      </w:r>
      <w:r>
        <w:rPr/>
        <w:t>general</w:t>
      </w:r>
      <w:r>
        <w:rPr>
          <w:spacing w:val="-14"/>
        </w:rPr>
        <w:t> </w:t>
      </w:r>
      <w:r>
        <w:rPr/>
        <w:t>del</w:t>
      </w:r>
      <w:r>
        <w:rPr>
          <w:spacing w:val="-14"/>
        </w:rPr>
        <w:t> </w:t>
      </w:r>
      <w:r>
        <w:rPr/>
        <w:t>18%</w:t>
      </w:r>
      <w:r>
        <w:rPr>
          <w:spacing w:val="-12"/>
        </w:rPr>
        <w:t> </w:t>
      </w:r>
      <w:r>
        <w:rPr/>
        <w:t>acerca</w:t>
      </w:r>
      <w:r>
        <w:rPr>
          <w:spacing w:val="-14"/>
        </w:rPr>
        <w:t> </w:t>
      </w:r>
      <w:r>
        <w:rPr/>
        <w:t>del</w:t>
      </w:r>
      <w:r>
        <w:rPr>
          <w:spacing w:val="-14"/>
        </w:rPr>
        <w:t> </w:t>
      </w:r>
      <w:r>
        <w:rPr/>
        <w:t>costo de comercialización, aunque hay activos y prestaciones que están exonerados o tienen tasas reducidas." (Rocca, 2018).</w:t>
      </w:r>
    </w:p>
    <w:p>
      <w:pPr>
        <w:pStyle w:val="BodyText"/>
        <w:spacing w:line="480" w:lineRule="auto"/>
        <w:ind w:left="1135" w:right="993" w:firstLine="720"/>
        <w:jc w:val="both"/>
      </w:pPr>
      <w:r>
        <w:rPr/>
        <w:t>Recaudación del IGV: "La recaudación del IGV es esencial para el progreso</w:t>
      </w:r>
      <w:r>
        <w:rPr>
          <w:spacing w:val="-13"/>
        </w:rPr>
        <w:t> </w:t>
      </w:r>
      <w:r>
        <w:rPr/>
        <w:t>financiero</w:t>
      </w:r>
      <w:r>
        <w:rPr>
          <w:spacing w:val="-14"/>
        </w:rPr>
        <w:t> </w:t>
      </w:r>
      <w:r>
        <w:rPr/>
        <w:t>y</w:t>
      </w:r>
      <w:r>
        <w:rPr>
          <w:spacing w:val="-12"/>
        </w:rPr>
        <w:t> </w:t>
      </w:r>
      <w:r>
        <w:rPr/>
        <w:t>comunitario</w:t>
      </w:r>
      <w:r>
        <w:rPr>
          <w:spacing w:val="-14"/>
        </w:rPr>
        <w:t> </w:t>
      </w:r>
      <w:r>
        <w:rPr/>
        <w:t>del</w:t>
      </w:r>
      <w:r>
        <w:rPr>
          <w:spacing w:val="-15"/>
        </w:rPr>
        <w:t> </w:t>
      </w:r>
      <w:r>
        <w:rPr/>
        <w:t>país,</w:t>
      </w:r>
      <w:r>
        <w:rPr>
          <w:spacing w:val="-14"/>
        </w:rPr>
        <w:t> </w:t>
      </w:r>
      <w:r>
        <w:rPr/>
        <w:t>ya</w:t>
      </w:r>
      <w:r>
        <w:rPr>
          <w:spacing w:val="-14"/>
        </w:rPr>
        <w:t> </w:t>
      </w:r>
      <w:r>
        <w:rPr/>
        <w:t>que</w:t>
      </w:r>
      <w:r>
        <w:rPr>
          <w:spacing w:val="-14"/>
        </w:rPr>
        <w:t> </w:t>
      </w:r>
      <w:r>
        <w:rPr/>
        <w:t>financia</w:t>
      </w:r>
      <w:r>
        <w:rPr>
          <w:spacing w:val="-15"/>
        </w:rPr>
        <w:t> </w:t>
      </w:r>
      <w:r>
        <w:rPr/>
        <w:t>programas</w:t>
      </w:r>
      <w:r>
        <w:rPr>
          <w:spacing w:val="-13"/>
        </w:rPr>
        <w:t> </w:t>
      </w:r>
      <w:r>
        <w:rPr/>
        <w:t>y</w:t>
      </w:r>
      <w:r>
        <w:rPr>
          <w:spacing w:val="-14"/>
        </w:rPr>
        <w:t> </w:t>
      </w:r>
      <w:r>
        <w:rPr/>
        <w:t>proyectos estatales." (Institución Monetaria de Ahorro del Perú [IMAP], 2022).</w:t>
      </w:r>
    </w:p>
    <w:p>
      <w:pPr>
        <w:pStyle w:val="Heading3"/>
        <w:spacing w:before="1"/>
        <w:ind w:left="1195"/>
        <w:jc w:val="both"/>
      </w:pPr>
      <w:r>
        <w:rPr/>
        <w:t>Importancia</w:t>
      </w:r>
      <w:r>
        <w:rPr>
          <w:spacing w:val="-1"/>
        </w:rPr>
        <w:t> </w:t>
      </w:r>
      <w:r>
        <w:rPr/>
        <w:t>del</w:t>
      </w:r>
      <w:r>
        <w:rPr>
          <w:spacing w:val="-1"/>
        </w:rPr>
        <w:t> </w:t>
      </w:r>
      <w:r>
        <w:rPr/>
        <w:t>impuesto</w:t>
      </w:r>
      <w:r>
        <w:rPr>
          <w:spacing w:val="-1"/>
        </w:rPr>
        <w:t> </w:t>
      </w:r>
      <w:r>
        <w:rPr/>
        <w:t>general</w:t>
      </w:r>
      <w:r>
        <w:rPr>
          <w:spacing w:val="-1"/>
        </w:rPr>
        <w:t> </w:t>
      </w:r>
      <w:r>
        <w:rPr/>
        <w:t>a</w:t>
      </w:r>
      <w:r>
        <w:rPr>
          <w:spacing w:val="-1"/>
        </w:rPr>
        <w:t> </w:t>
      </w:r>
      <w:r>
        <w:rPr/>
        <w:t>la</w:t>
      </w:r>
      <w:r>
        <w:rPr>
          <w:spacing w:val="1"/>
        </w:rPr>
        <w:t> </w:t>
      </w:r>
      <w:r>
        <w:rPr>
          <w:spacing w:val="-2"/>
        </w:rPr>
        <w:t>venta</w:t>
      </w:r>
    </w:p>
    <w:p>
      <w:pPr>
        <w:pStyle w:val="BodyText"/>
        <w:spacing w:line="480" w:lineRule="auto" w:before="276"/>
        <w:ind w:left="1135" w:right="992" w:firstLine="720"/>
        <w:jc w:val="both"/>
      </w:pPr>
      <w:r>
        <w:rPr/>
        <w:t>En primer lugar, Pérez y Ramírez (2021) estudiaron la importancia de la transparencia</w:t>
      </w:r>
      <w:r>
        <w:rPr>
          <w:spacing w:val="-10"/>
        </w:rPr>
        <w:t> </w:t>
      </w:r>
      <w:r>
        <w:rPr/>
        <w:t>gubernamental</w:t>
      </w:r>
      <w:r>
        <w:rPr>
          <w:spacing w:val="-10"/>
        </w:rPr>
        <w:t> </w:t>
      </w:r>
      <w:r>
        <w:rPr/>
        <w:t>en</w:t>
      </w:r>
      <w:r>
        <w:rPr>
          <w:spacing w:val="-8"/>
        </w:rPr>
        <w:t> </w:t>
      </w:r>
      <w:r>
        <w:rPr/>
        <w:t>la</w:t>
      </w:r>
      <w:r>
        <w:rPr>
          <w:spacing w:val="-9"/>
        </w:rPr>
        <w:t> </w:t>
      </w:r>
      <w:r>
        <w:rPr/>
        <w:t>mejora</w:t>
      </w:r>
      <w:r>
        <w:rPr>
          <w:spacing w:val="-6"/>
        </w:rPr>
        <w:t> </w:t>
      </w:r>
      <w:r>
        <w:rPr/>
        <w:t>de</w:t>
      </w:r>
      <w:r>
        <w:rPr>
          <w:spacing w:val="-10"/>
        </w:rPr>
        <w:t> </w:t>
      </w:r>
      <w:r>
        <w:rPr/>
        <w:t>la</w:t>
      </w:r>
      <w:r>
        <w:rPr>
          <w:spacing w:val="-11"/>
        </w:rPr>
        <w:t> </w:t>
      </w:r>
      <w:r>
        <w:rPr/>
        <w:t>confianza</w:t>
      </w:r>
      <w:r>
        <w:rPr>
          <w:spacing w:val="-10"/>
        </w:rPr>
        <w:t> </w:t>
      </w:r>
      <w:r>
        <w:rPr/>
        <w:t>de</w:t>
      </w:r>
      <w:r>
        <w:rPr>
          <w:spacing w:val="-10"/>
        </w:rPr>
        <w:t> </w:t>
      </w:r>
      <w:r>
        <w:rPr/>
        <w:t>los</w:t>
      </w:r>
      <w:r>
        <w:rPr>
          <w:spacing w:val="-9"/>
        </w:rPr>
        <w:t> </w:t>
      </w:r>
      <w:r>
        <w:rPr/>
        <w:t>ciudadanos</w:t>
      </w:r>
      <w:r>
        <w:rPr>
          <w:spacing w:val="-9"/>
        </w:rPr>
        <w:t> </w:t>
      </w:r>
      <w:r>
        <w:rPr/>
        <w:t>hacia las instituciones públicas en el Perú. Los hallazgos destacaron que una mayor transparencia en los procesos de toma de decisiones y en la gestión de recursos públicos fortalece la relación entre el gobierno y la ciudadanía, mejorando la cooperación y el apoyo popular para las políticas públicas.</w:t>
      </w:r>
    </w:p>
    <w:p>
      <w:pPr>
        <w:pStyle w:val="BodyText"/>
        <w:spacing w:line="480" w:lineRule="auto"/>
        <w:ind w:left="1135" w:right="992" w:firstLine="720"/>
        <w:jc w:val="both"/>
      </w:pPr>
      <w:r>
        <w:rPr/>
        <w:t>Además, Quispe y López (2023) investigaron cómo la importancia de la transparencia gubernamental impacta la eficacia de las políticas públicas en el Perú.</w:t>
      </w:r>
      <w:r>
        <w:rPr>
          <w:spacing w:val="-15"/>
        </w:rPr>
        <w:t> </w:t>
      </w:r>
      <w:r>
        <w:rPr/>
        <w:t>Los</w:t>
      </w:r>
      <w:r>
        <w:rPr>
          <w:spacing w:val="-15"/>
        </w:rPr>
        <w:t> </w:t>
      </w:r>
      <w:r>
        <w:rPr/>
        <w:t>resultados</w:t>
      </w:r>
      <w:r>
        <w:rPr>
          <w:spacing w:val="-15"/>
        </w:rPr>
        <w:t> </w:t>
      </w:r>
      <w:r>
        <w:rPr/>
        <w:t>mostraron</w:t>
      </w:r>
      <w:r>
        <w:rPr>
          <w:spacing w:val="-15"/>
        </w:rPr>
        <w:t> </w:t>
      </w:r>
      <w:r>
        <w:rPr/>
        <w:t>que</w:t>
      </w:r>
      <w:r>
        <w:rPr>
          <w:spacing w:val="-15"/>
        </w:rPr>
        <w:t> </w:t>
      </w:r>
      <w:r>
        <w:rPr/>
        <w:t>la</w:t>
      </w:r>
      <w:r>
        <w:rPr>
          <w:spacing w:val="-15"/>
        </w:rPr>
        <w:t> </w:t>
      </w:r>
      <w:r>
        <w:rPr/>
        <w:t>transparencia</w:t>
      </w:r>
      <w:r>
        <w:rPr>
          <w:spacing w:val="-15"/>
        </w:rPr>
        <w:t> </w:t>
      </w:r>
      <w:r>
        <w:rPr/>
        <w:t>contribuye</w:t>
      </w:r>
      <w:r>
        <w:rPr>
          <w:spacing w:val="-15"/>
        </w:rPr>
        <w:t> </w:t>
      </w:r>
      <w:r>
        <w:rPr/>
        <w:t>significativamente a la implementación exitosa de las políticas públicas, ya que permite una mayor rendición</w:t>
      </w:r>
      <w:r>
        <w:rPr>
          <w:spacing w:val="37"/>
        </w:rPr>
        <w:t> </w:t>
      </w:r>
      <w:r>
        <w:rPr/>
        <w:t>de</w:t>
      </w:r>
      <w:r>
        <w:rPr>
          <w:spacing w:val="39"/>
        </w:rPr>
        <w:t> </w:t>
      </w:r>
      <w:r>
        <w:rPr/>
        <w:t>cuentas</w:t>
      </w:r>
      <w:r>
        <w:rPr>
          <w:spacing w:val="41"/>
        </w:rPr>
        <w:t> </w:t>
      </w:r>
      <w:r>
        <w:rPr/>
        <w:t>y</w:t>
      </w:r>
      <w:r>
        <w:rPr>
          <w:spacing w:val="39"/>
        </w:rPr>
        <w:t> </w:t>
      </w:r>
      <w:r>
        <w:rPr/>
        <w:t>garantiza</w:t>
      </w:r>
      <w:r>
        <w:rPr>
          <w:spacing w:val="39"/>
        </w:rPr>
        <w:t> </w:t>
      </w:r>
      <w:r>
        <w:rPr/>
        <w:t>que</w:t>
      </w:r>
      <w:r>
        <w:rPr>
          <w:spacing w:val="40"/>
        </w:rPr>
        <w:t> </w:t>
      </w:r>
      <w:r>
        <w:rPr/>
        <w:t>los</w:t>
      </w:r>
      <w:r>
        <w:rPr>
          <w:spacing w:val="40"/>
        </w:rPr>
        <w:t> </w:t>
      </w:r>
      <w:r>
        <w:rPr/>
        <w:t>recursos</w:t>
      </w:r>
      <w:r>
        <w:rPr>
          <w:spacing w:val="40"/>
        </w:rPr>
        <w:t> </w:t>
      </w:r>
      <w:r>
        <w:rPr/>
        <w:t>públicos</w:t>
      </w:r>
      <w:r>
        <w:rPr>
          <w:spacing w:val="39"/>
        </w:rPr>
        <w:t> </w:t>
      </w:r>
      <w:r>
        <w:rPr/>
        <w:t>sean</w:t>
      </w:r>
      <w:r>
        <w:rPr>
          <w:spacing w:val="39"/>
        </w:rPr>
        <w:t> </w:t>
      </w:r>
      <w:r>
        <w:rPr/>
        <w:t>utilizados</w:t>
      </w:r>
      <w:r>
        <w:rPr>
          <w:spacing w:val="41"/>
        </w:rPr>
        <w:t> </w:t>
      </w:r>
      <w:r>
        <w:rPr>
          <w:spacing w:val="-5"/>
        </w:rPr>
        <w:t>de</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135" w:right="996"/>
        <w:jc w:val="both"/>
      </w:pPr>
      <w:r>
        <w:rPr/>
        <w:t>manera eficiente y efectiva. Asimismo, la transparencia mejora la percepción pública sobre el gobierno y su gestión de los recursos.</w:t>
      </w:r>
    </w:p>
    <w:p>
      <w:pPr>
        <w:pStyle w:val="BodyText"/>
        <w:spacing w:line="480" w:lineRule="auto" w:before="1"/>
        <w:ind w:left="1135" w:right="994" w:firstLine="720"/>
        <w:jc w:val="both"/>
      </w:pPr>
      <w:r>
        <w:rPr/>
        <w:t>El Tributo General a las Transacciones (TGT) es fundamental en la estructura fiscal de muchos países, incluyendo Perú, por diversas razones. Aquí se detallan las principales importancias del IGV:</w:t>
      </w:r>
    </w:p>
    <w:p>
      <w:pPr>
        <w:pStyle w:val="Heading3"/>
        <w:numPr>
          <w:ilvl w:val="3"/>
          <w:numId w:val="10"/>
        </w:numPr>
        <w:tabs>
          <w:tab w:pos="1135" w:val="left" w:leader="none"/>
        </w:tabs>
        <w:spacing w:line="240" w:lineRule="auto" w:before="0" w:after="0"/>
        <w:ind w:left="1135" w:right="0" w:hanging="360"/>
        <w:jc w:val="both"/>
      </w:pPr>
      <w:r>
        <w:rPr/>
        <w:t>Fuente</w:t>
      </w:r>
      <w:r>
        <w:rPr>
          <w:spacing w:val="-2"/>
        </w:rPr>
        <w:t> </w:t>
      </w:r>
      <w:r>
        <w:rPr/>
        <w:t>Principal</w:t>
      </w:r>
      <w:r>
        <w:rPr>
          <w:spacing w:val="-2"/>
        </w:rPr>
        <w:t> </w:t>
      </w:r>
      <w:r>
        <w:rPr/>
        <w:t>de Ingresos</w:t>
      </w:r>
      <w:r>
        <w:rPr>
          <w:spacing w:val="-1"/>
        </w:rPr>
        <w:t> </w:t>
      </w:r>
      <w:r>
        <w:rPr>
          <w:spacing w:val="-2"/>
        </w:rPr>
        <w:t>Fiscales</w:t>
      </w:r>
    </w:p>
    <w:p>
      <w:pPr>
        <w:pStyle w:val="BodyText"/>
        <w:rPr>
          <w:b/>
        </w:rPr>
      </w:pPr>
    </w:p>
    <w:p>
      <w:pPr>
        <w:pStyle w:val="BodyText"/>
        <w:spacing w:line="480" w:lineRule="auto"/>
        <w:ind w:left="1135" w:right="990" w:firstLine="720"/>
        <w:jc w:val="both"/>
      </w:pPr>
      <w:r>
        <w:rPr/>
        <w:t>El IGV constituye una de las primordiales corrientes de ingresos para el Estado.</w:t>
      </w:r>
      <w:r>
        <w:rPr>
          <w:spacing w:val="-7"/>
        </w:rPr>
        <w:t> </w:t>
      </w:r>
      <w:r>
        <w:rPr/>
        <w:t>En</w:t>
      </w:r>
      <w:r>
        <w:rPr>
          <w:spacing w:val="-7"/>
        </w:rPr>
        <w:t> </w:t>
      </w:r>
      <w:r>
        <w:rPr/>
        <w:t>Perú,</w:t>
      </w:r>
      <w:r>
        <w:rPr>
          <w:spacing w:val="-6"/>
        </w:rPr>
        <w:t> </w:t>
      </w:r>
      <w:r>
        <w:rPr/>
        <w:t>representa</w:t>
      </w:r>
      <w:r>
        <w:rPr>
          <w:spacing w:val="-8"/>
        </w:rPr>
        <w:t> </w:t>
      </w:r>
      <w:r>
        <w:rPr/>
        <w:t>una</w:t>
      </w:r>
      <w:r>
        <w:rPr>
          <w:spacing w:val="-7"/>
        </w:rPr>
        <w:t> </w:t>
      </w:r>
      <w:r>
        <w:rPr/>
        <w:t>porción</w:t>
      </w:r>
      <w:r>
        <w:rPr>
          <w:spacing w:val="-6"/>
        </w:rPr>
        <w:t> </w:t>
      </w:r>
      <w:r>
        <w:rPr/>
        <w:t>significativa</w:t>
      </w:r>
      <w:r>
        <w:rPr>
          <w:spacing w:val="-7"/>
        </w:rPr>
        <w:t> </w:t>
      </w:r>
      <w:r>
        <w:rPr/>
        <w:t>de</w:t>
      </w:r>
      <w:r>
        <w:rPr>
          <w:spacing w:val="-7"/>
        </w:rPr>
        <w:t> </w:t>
      </w:r>
      <w:r>
        <w:rPr/>
        <w:t>los</w:t>
      </w:r>
      <w:r>
        <w:rPr>
          <w:spacing w:val="-6"/>
        </w:rPr>
        <w:t> </w:t>
      </w:r>
      <w:r>
        <w:rPr/>
        <w:t>recursos</w:t>
      </w:r>
      <w:r>
        <w:rPr>
          <w:spacing w:val="-6"/>
        </w:rPr>
        <w:t> </w:t>
      </w:r>
      <w:r>
        <w:rPr/>
        <w:t>fiscales,</w:t>
      </w:r>
      <w:r>
        <w:rPr>
          <w:spacing w:val="-6"/>
        </w:rPr>
        <w:t> </w:t>
      </w:r>
      <w:r>
        <w:rPr/>
        <w:t>que se asignan a sufragar servicios públicos fundamentales como sanidad, enseñanza y infraestructura. Esta recaudación es vital para el avance y conservación de proyectos sociales y para asegurar la estabilidad económica del país.</w:t>
      </w:r>
    </w:p>
    <w:p>
      <w:pPr>
        <w:pStyle w:val="Heading3"/>
        <w:numPr>
          <w:ilvl w:val="3"/>
          <w:numId w:val="10"/>
        </w:numPr>
        <w:tabs>
          <w:tab w:pos="1135" w:val="left" w:leader="none"/>
        </w:tabs>
        <w:spacing w:line="240" w:lineRule="auto" w:before="1" w:after="0"/>
        <w:ind w:left="1135" w:right="0" w:hanging="360"/>
        <w:jc w:val="both"/>
      </w:pPr>
      <w:r>
        <w:rPr/>
        <w:t>Estímulo</w:t>
      </w:r>
      <w:r>
        <w:rPr>
          <w:spacing w:val="-1"/>
        </w:rPr>
        <w:t> </w:t>
      </w:r>
      <w:r>
        <w:rPr/>
        <w:t>a la </w:t>
      </w:r>
      <w:r>
        <w:rPr>
          <w:spacing w:val="-2"/>
        </w:rPr>
        <w:t>Formalización</w:t>
      </w:r>
    </w:p>
    <w:p>
      <w:pPr>
        <w:pStyle w:val="BodyText"/>
        <w:spacing w:line="480" w:lineRule="auto" w:before="276"/>
        <w:ind w:left="1135" w:right="994" w:firstLine="720"/>
        <w:jc w:val="both"/>
      </w:pPr>
      <w:r>
        <w:rPr/>
        <w:t>El IGV promueve la formalización de los negocios y la economía. Al establecer un sistema de tributación que grava las transacciones comerciales, incentiva a los comerciantes a registrarse y satisfacer sus responsabilidades tributarias para evitar sanciones. Esto contribuye a la creación de un ambiente comercial más transparente y competitivo, donde las empresas informales tienen un incentivo para formalizarse.</w:t>
      </w:r>
    </w:p>
    <w:p>
      <w:pPr>
        <w:pStyle w:val="Heading3"/>
        <w:numPr>
          <w:ilvl w:val="3"/>
          <w:numId w:val="10"/>
        </w:numPr>
        <w:tabs>
          <w:tab w:pos="1135" w:val="left" w:leader="none"/>
        </w:tabs>
        <w:spacing w:line="240" w:lineRule="auto" w:before="0" w:after="0"/>
        <w:ind w:left="1135" w:right="0" w:hanging="360"/>
        <w:jc w:val="both"/>
      </w:pPr>
      <w:r>
        <w:rPr/>
        <w:t>Distribución</w:t>
      </w:r>
      <w:r>
        <w:rPr>
          <w:spacing w:val="-2"/>
        </w:rPr>
        <w:t> </w:t>
      </w:r>
      <w:r>
        <w:rPr/>
        <w:t>Equitativa</w:t>
      </w:r>
      <w:r>
        <w:rPr>
          <w:spacing w:val="-1"/>
        </w:rPr>
        <w:t> </w:t>
      </w:r>
      <w:r>
        <w:rPr/>
        <w:t>de</w:t>
      </w:r>
      <w:r>
        <w:rPr>
          <w:spacing w:val="-1"/>
        </w:rPr>
        <w:t> </w:t>
      </w:r>
      <w:r>
        <w:rPr/>
        <w:t>la</w:t>
      </w:r>
      <w:r>
        <w:rPr>
          <w:spacing w:val="-1"/>
        </w:rPr>
        <w:t> </w:t>
      </w:r>
      <w:r>
        <w:rPr/>
        <w:t>Carga</w:t>
      </w:r>
      <w:r>
        <w:rPr>
          <w:spacing w:val="-1"/>
        </w:rPr>
        <w:t> </w:t>
      </w:r>
      <w:r>
        <w:rPr>
          <w:spacing w:val="-2"/>
        </w:rPr>
        <w:t>Fiscal</w:t>
      </w:r>
    </w:p>
    <w:p>
      <w:pPr>
        <w:pStyle w:val="BodyText"/>
        <w:rPr>
          <w:b/>
        </w:rPr>
      </w:pPr>
    </w:p>
    <w:p>
      <w:pPr>
        <w:pStyle w:val="BodyText"/>
        <w:spacing w:line="480" w:lineRule="auto"/>
        <w:ind w:left="1135" w:right="991" w:firstLine="720"/>
        <w:jc w:val="both"/>
      </w:pPr>
      <w:r>
        <w:rPr/>
        <w:t>El</w:t>
      </w:r>
      <w:r>
        <w:rPr>
          <w:spacing w:val="-9"/>
        </w:rPr>
        <w:t> </w:t>
      </w:r>
      <w:r>
        <w:rPr/>
        <w:t>IGV</w:t>
      </w:r>
      <w:r>
        <w:rPr>
          <w:spacing w:val="-7"/>
        </w:rPr>
        <w:t> </w:t>
      </w:r>
      <w:r>
        <w:rPr/>
        <w:t>es</w:t>
      </w:r>
      <w:r>
        <w:rPr>
          <w:spacing w:val="-7"/>
        </w:rPr>
        <w:t> </w:t>
      </w:r>
      <w:r>
        <w:rPr/>
        <w:t>un</w:t>
      </w:r>
      <w:r>
        <w:rPr>
          <w:spacing w:val="-8"/>
        </w:rPr>
        <w:t> </w:t>
      </w:r>
      <w:r>
        <w:rPr/>
        <w:t>tributo</w:t>
      </w:r>
      <w:r>
        <w:rPr>
          <w:spacing w:val="-8"/>
        </w:rPr>
        <w:t> </w:t>
      </w:r>
      <w:r>
        <w:rPr/>
        <w:t>indirecto</w:t>
      </w:r>
      <w:r>
        <w:rPr>
          <w:spacing w:val="-8"/>
        </w:rPr>
        <w:t> </w:t>
      </w:r>
      <w:r>
        <w:rPr/>
        <w:t>que</w:t>
      </w:r>
      <w:r>
        <w:rPr>
          <w:spacing w:val="-8"/>
        </w:rPr>
        <w:t> </w:t>
      </w:r>
      <w:r>
        <w:rPr/>
        <w:t>afecta</w:t>
      </w:r>
      <w:r>
        <w:rPr>
          <w:spacing w:val="-8"/>
        </w:rPr>
        <w:t> </w:t>
      </w:r>
      <w:r>
        <w:rPr/>
        <w:t>el</w:t>
      </w:r>
      <w:r>
        <w:rPr>
          <w:spacing w:val="-8"/>
        </w:rPr>
        <w:t> </w:t>
      </w:r>
      <w:r>
        <w:rPr/>
        <w:t>gasto.</w:t>
      </w:r>
      <w:r>
        <w:rPr>
          <w:spacing w:val="-8"/>
        </w:rPr>
        <w:t> </w:t>
      </w:r>
      <w:r>
        <w:rPr/>
        <w:t>Esto</w:t>
      </w:r>
      <w:r>
        <w:rPr>
          <w:spacing w:val="-8"/>
        </w:rPr>
        <w:t> </w:t>
      </w:r>
      <w:r>
        <w:rPr/>
        <w:t>significa</w:t>
      </w:r>
      <w:r>
        <w:rPr>
          <w:spacing w:val="-8"/>
        </w:rPr>
        <w:t> </w:t>
      </w:r>
      <w:r>
        <w:rPr/>
        <w:t>que</w:t>
      </w:r>
      <w:r>
        <w:rPr>
          <w:spacing w:val="-8"/>
        </w:rPr>
        <w:t> </w:t>
      </w:r>
      <w:r>
        <w:rPr/>
        <w:t>todos los</w:t>
      </w:r>
      <w:r>
        <w:rPr>
          <w:spacing w:val="-14"/>
        </w:rPr>
        <w:t> </w:t>
      </w:r>
      <w:r>
        <w:rPr/>
        <w:t>consumidores,</w:t>
      </w:r>
      <w:r>
        <w:rPr>
          <w:spacing w:val="-14"/>
        </w:rPr>
        <w:t> </w:t>
      </w:r>
      <w:r>
        <w:rPr/>
        <w:t>sin</w:t>
      </w:r>
      <w:r>
        <w:rPr>
          <w:spacing w:val="-15"/>
        </w:rPr>
        <w:t> </w:t>
      </w:r>
      <w:r>
        <w:rPr/>
        <w:t>importar</w:t>
      </w:r>
      <w:r>
        <w:rPr>
          <w:spacing w:val="-14"/>
        </w:rPr>
        <w:t> </w:t>
      </w:r>
      <w:r>
        <w:rPr/>
        <w:t>su</w:t>
      </w:r>
      <w:r>
        <w:rPr>
          <w:spacing w:val="-14"/>
        </w:rPr>
        <w:t> </w:t>
      </w:r>
      <w:r>
        <w:rPr/>
        <w:t>grado</w:t>
      </w:r>
      <w:r>
        <w:rPr>
          <w:spacing w:val="-15"/>
        </w:rPr>
        <w:t> </w:t>
      </w:r>
      <w:r>
        <w:rPr/>
        <w:t>de</w:t>
      </w:r>
      <w:r>
        <w:rPr>
          <w:spacing w:val="-15"/>
        </w:rPr>
        <w:t> </w:t>
      </w:r>
      <w:r>
        <w:rPr/>
        <w:t>ingresos,</w:t>
      </w:r>
      <w:r>
        <w:rPr>
          <w:spacing w:val="-15"/>
        </w:rPr>
        <w:t> </w:t>
      </w:r>
      <w:r>
        <w:rPr/>
        <w:t>aportan</w:t>
      </w:r>
      <w:r>
        <w:rPr>
          <w:spacing w:val="-15"/>
        </w:rPr>
        <w:t> </w:t>
      </w:r>
      <w:r>
        <w:rPr/>
        <w:t>al</w:t>
      </w:r>
      <w:r>
        <w:rPr>
          <w:spacing w:val="-14"/>
        </w:rPr>
        <w:t> </w:t>
      </w:r>
      <w:r>
        <w:rPr/>
        <w:t>financiamiento</w:t>
      </w:r>
      <w:r>
        <w:rPr>
          <w:spacing w:val="-15"/>
        </w:rPr>
        <w:t> </w:t>
      </w:r>
      <w:r>
        <w:rPr/>
        <w:t>del Gobierno al adquirir activos y prestaciones. Sin embargo, el impacto puede ser regresivo para los hogares de menores ingresos. Por esta razón, se deben implementar políticas compensatorias que mitiguen el efecto sobre los más vulnerables, asegurando una asignación más justa de la carga tributaria.</w:t>
      </w:r>
    </w:p>
    <w:p>
      <w:pPr>
        <w:pStyle w:val="BodyText"/>
        <w:spacing w:after="0" w:line="480" w:lineRule="auto"/>
        <w:jc w:val="both"/>
        <w:sectPr>
          <w:pgSz w:w="11910" w:h="16840"/>
          <w:pgMar w:header="0" w:footer="693" w:top="1340" w:bottom="880" w:left="1559" w:right="425"/>
        </w:sectPr>
      </w:pPr>
    </w:p>
    <w:p>
      <w:pPr>
        <w:pStyle w:val="Heading3"/>
        <w:numPr>
          <w:ilvl w:val="3"/>
          <w:numId w:val="10"/>
        </w:numPr>
        <w:tabs>
          <w:tab w:pos="1135" w:val="left" w:leader="none"/>
        </w:tabs>
        <w:spacing w:line="240" w:lineRule="auto" w:before="66" w:after="0"/>
        <w:ind w:left="1135" w:right="0" w:hanging="360"/>
        <w:jc w:val="both"/>
      </w:pPr>
      <w:r>
        <w:rPr/>
        <w:t>Facilitador</w:t>
      </w:r>
      <w:r>
        <w:rPr>
          <w:spacing w:val="-1"/>
        </w:rPr>
        <w:t> </w:t>
      </w:r>
      <w:r>
        <w:rPr/>
        <w:t>del</w:t>
      </w:r>
      <w:r>
        <w:rPr>
          <w:spacing w:val="-2"/>
        </w:rPr>
        <w:t> </w:t>
      </w:r>
      <w:r>
        <w:rPr/>
        <w:t>Comercio</w:t>
      </w:r>
      <w:r>
        <w:rPr>
          <w:spacing w:val="-1"/>
        </w:rPr>
        <w:t> </w:t>
      </w:r>
      <w:r>
        <w:rPr>
          <w:spacing w:val="-2"/>
        </w:rPr>
        <w:t>Internacional</w:t>
      </w:r>
    </w:p>
    <w:p>
      <w:pPr>
        <w:pStyle w:val="BodyText"/>
        <w:rPr>
          <w:b/>
        </w:rPr>
      </w:pPr>
    </w:p>
    <w:p>
      <w:pPr>
        <w:pStyle w:val="BodyText"/>
        <w:spacing w:line="480" w:lineRule="auto"/>
        <w:ind w:left="1135" w:right="992" w:firstLine="720"/>
        <w:jc w:val="both"/>
      </w:pPr>
      <w:r>
        <w:rPr/>
        <w:t>El IGV se aplica también a la importación de bienes, lo que facilita la competencia leal entre productos nacionales y extranjeros. Este mecanismo permite</w:t>
      </w:r>
      <w:r>
        <w:rPr>
          <w:spacing w:val="-11"/>
        </w:rPr>
        <w:t> </w:t>
      </w:r>
      <w:r>
        <w:rPr/>
        <w:t>que</w:t>
      </w:r>
      <w:r>
        <w:rPr>
          <w:spacing w:val="-12"/>
        </w:rPr>
        <w:t> </w:t>
      </w:r>
      <w:r>
        <w:rPr/>
        <w:t>el</w:t>
      </w:r>
      <w:r>
        <w:rPr>
          <w:spacing w:val="-13"/>
        </w:rPr>
        <w:t> </w:t>
      </w:r>
      <w:r>
        <w:rPr/>
        <w:t>Estado</w:t>
      </w:r>
      <w:r>
        <w:rPr>
          <w:spacing w:val="-11"/>
        </w:rPr>
        <w:t> </w:t>
      </w:r>
      <w:r>
        <w:rPr/>
        <w:t>regule</w:t>
      </w:r>
      <w:r>
        <w:rPr>
          <w:spacing w:val="-12"/>
        </w:rPr>
        <w:t> </w:t>
      </w:r>
      <w:r>
        <w:rPr/>
        <w:t>y</w:t>
      </w:r>
      <w:r>
        <w:rPr>
          <w:spacing w:val="-11"/>
        </w:rPr>
        <w:t> </w:t>
      </w:r>
      <w:r>
        <w:rPr/>
        <w:t>controle</w:t>
      </w:r>
      <w:r>
        <w:rPr>
          <w:spacing w:val="-13"/>
        </w:rPr>
        <w:t> </w:t>
      </w:r>
      <w:r>
        <w:rPr/>
        <w:t>el</w:t>
      </w:r>
      <w:r>
        <w:rPr>
          <w:spacing w:val="-10"/>
        </w:rPr>
        <w:t> </w:t>
      </w:r>
      <w:r>
        <w:rPr/>
        <w:t>flujo</w:t>
      </w:r>
      <w:r>
        <w:rPr>
          <w:spacing w:val="-11"/>
        </w:rPr>
        <w:t> </w:t>
      </w:r>
      <w:r>
        <w:rPr/>
        <w:t>de</w:t>
      </w:r>
      <w:r>
        <w:rPr>
          <w:spacing w:val="-12"/>
        </w:rPr>
        <w:t> </w:t>
      </w:r>
      <w:r>
        <w:rPr/>
        <w:t>mercancías,</w:t>
      </w:r>
      <w:r>
        <w:rPr>
          <w:spacing w:val="-9"/>
        </w:rPr>
        <w:t> </w:t>
      </w:r>
      <w:r>
        <w:rPr/>
        <w:t>asegurando</w:t>
      </w:r>
      <w:r>
        <w:rPr>
          <w:spacing w:val="-11"/>
        </w:rPr>
        <w:t> </w:t>
      </w:r>
      <w:r>
        <w:rPr/>
        <w:t>que</w:t>
      </w:r>
      <w:r>
        <w:rPr>
          <w:spacing w:val="-12"/>
        </w:rPr>
        <w:t> </w:t>
      </w:r>
      <w:r>
        <w:rPr/>
        <w:t>los productos</w:t>
      </w:r>
      <w:r>
        <w:rPr>
          <w:spacing w:val="-9"/>
        </w:rPr>
        <w:t> </w:t>
      </w:r>
      <w:r>
        <w:rPr/>
        <w:t>importados</w:t>
      </w:r>
      <w:r>
        <w:rPr>
          <w:spacing w:val="-9"/>
        </w:rPr>
        <w:t> </w:t>
      </w:r>
      <w:r>
        <w:rPr/>
        <w:t>contribuyan</w:t>
      </w:r>
      <w:r>
        <w:rPr>
          <w:spacing w:val="-10"/>
        </w:rPr>
        <w:t> </w:t>
      </w:r>
      <w:r>
        <w:rPr/>
        <w:t>a</w:t>
      </w:r>
      <w:r>
        <w:rPr>
          <w:spacing w:val="-8"/>
        </w:rPr>
        <w:t> </w:t>
      </w:r>
      <w:r>
        <w:rPr/>
        <w:t>la</w:t>
      </w:r>
      <w:r>
        <w:rPr>
          <w:spacing w:val="-11"/>
        </w:rPr>
        <w:t> </w:t>
      </w:r>
      <w:r>
        <w:rPr/>
        <w:t>recaudación</w:t>
      </w:r>
      <w:r>
        <w:rPr>
          <w:spacing w:val="-9"/>
        </w:rPr>
        <w:t> </w:t>
      </w:r>
      <w:r>
        <w:rPr/>
        <w:t>fiscal</w:t>
      </w:r>
      <w:r>
        <w:rPr>
          <w:spacing w:val="-10"/>
        </w:rPr>
        <w:t> </w:t>
      </w:r>
      <w:r>
        <w:rPr/>
        <w:t>y</w:t>
      </w:r>
      <w:r>
        <w:rPr>
          <w:spacing w:val="-9"/>
        </w:rPr>
        <w:t> </w:t>
      </w:r>
      <w:r>
        <w:rPr/>
        <w:t>no</w:t>
      </w:r>
      <w:r>
        <w:rPr>
          <w:spacing w:val="-8"/>
        </w:rPr>
        <w:t> </w:t>
      </w:r>
      <w:r>
        <w:rPr/>
        <w:t>desincentiven</w:t>
      </w:r>
      <w:r>
        <w:rPr>
          <w:spacing w:val="-10"/>
        </w:rPr>
        <w:t> </w:t>
      </w:r>
      <w:r>
        <w:rPr/>
        <w:t>a</w:t>
      </w:r>
      <w:r>
        <w:rPr>
          <w:spacing w:val="-8"/>
        </w:rPr>
        <w:t> </w:t>
      </w:r>
      <w:r>
        <w:rPr/>
        <w:t>los productores locales. Además, el tratamiento del IGV en las exportaciones puede hacer que los productos peruanos sean más competitivos en el mercado </w:t>
      </w:r>
      <w:r>
        <w:rPr>
          <w:spacing w:val="-2"/>
        </w:rPr>
        <w:t>internacional.</w:t>
      </w:r>
    </w:p>
    <w:p>
      <w:pPr>
        <w:pStyle w:val="Heading3"/>
        <w:numPr>
          <w:ilvl w:val="3"/>
          <w:numId w:val="10"/>
        </w:numPr>
        <w:tabs>
          <w:tab w:pos="1135" w:val="left" w:leader="none"/>
        </w:tabs>
        <w:spacing w:line="240" w:lineRule="auto" w:before="1" w:after="0"/>
        <w:ind w:left="1135" w:right="0" w:hanging="360"/>
        <w:jc w:val="both"/>
      </w:pPr>
      <w:r>
        <w:rPr/>
        <w:t>Instrumento</w:t>
      </w:r>
      <w:r>
        <w:rPr>
          <w:spacing w:val="-2"/>
        </w:rPr>
        <w:t> </w:t>
      </w:r>
      <w:r>
        <w:rPr/>
        <w:t>de</w:t>
      </w:r>
      <w:r>
        <w:rPr>
          <w:spacing w:val="-1"/>
        </w:rPr>
        <w:t> </w:t>
      </w:r>
      <w:r>
        <w:rPr/>
        <w:t>Políticas</w:t>
      </w:r>
      <w:r>
        <w:rPr>
          <w:spacing w:val="-1"/>
        </w:rPr>
        <w:t> </w:t>
      </w:r>
      <w:r>
        <w:rPr>
          <w:spacing w:val="-2"/>
        </w:rPr>
        <w:t>Económicas</w:t>
      </w:r>
    </w:p>
    <w:p>
      <w:pPr>
        <w:pStyle w:val="BodyText"/>
        <w:rPr>
          <w:b/>
        </w:rPr>
      </w:pPr>
    </w:p>
    <w:p>
      <w:pPr>
        <w:pStyle w:val="BodyText"/>
        <w:spacing w:line="480" w:lineRule="auto"/>
        <w:ind w:left="1135" w:right="992" w:firstLine="720"/>
        <w:jc w:val="both"/>
      </w:pPr>
      <w:r>
        <w:rPr/>
        <w:t>El IGV puede ser utilizado como una herramienta de política económica para</w:t>
      </w:r>
      <w:r>
        <w:rPr>
          <w:spacing w:val="-10"/>
        </w:rPr>
        <w:t> </w:t>
      </w:r>
      <w:r>
        <w:rPr/>
        <w:t>regular</w:t>
      </w:r>
      <w:r>
        <w:rPr>
          <w:spacing w:val="-8"/>
        </w:rPr>
        <w:t> </w:t>
      </w:r>
      <w:r>
        <w:rPr/>
        <w:t>la</w:t>
      </w:r>
      <w:r>
        <w:rPr>
          <w:spacing w:val="-11"/>
        </w:rPr>
        <w:t> </w:t>
      </w:r>
      <w:r>
        <w:rPr/>
        <w:t>inflación</w:t>
      </w:r>
      <w:r>
        <w:rPr>
          <w:spacing w:val="-9"/>
        </w:rPr>
        <w:t> </w:t>
      </w:r>
      <w:r>
        <w:rPr/>
        <w:t>y</w:t>
      </w:r>
      <w:r>
        <w:rPr>
          <w:spacing w:val="-9"/>
        </w:rPr>
        <w:t> </w:t>
      </w:r>
      <w:r>
        <w:rPr/>
        <w:t>fomentar</w:t>
      </w:r>
      <w:r>
        <w:rPr>
          <w:spacing w:val="-8"/>
        </w:rPr>
        <w:t> </w:t>
      </w:r>
      <w:r>
        <w:rPr/>
        <w:t>el</w:t>
      </w:r>
      <w:r>
        <w:rPr>
          <w:spacing w:val="-11"/>
        </w:rPr>
        <w:t> </w:t>
      </w:r>
      <w:r>
        <w:rPr/>
        <w:t>consumo.</w:t>
      </w:r>
      <w:r>
        <w:rPr>
          <w:spacing w:val="-9"/>
        </w:rPr>
        <w:t> </w:t>
      </w:r>
      <w:r>
        <w:rPr/>
        <w:t>Por</w:t>
      </w:r>
      <w:r>
        <w:rPr>
          <w:spacing w:val="-9"/>
        </w:rPr>
        <w:t> </w:t>
      </w:r>
      <w:r>
        <w:rPr/>
        <w:t>ejemplo,</w:t>
      </w:r>
      <w:r>
        <w:rPr>
          <w:spacing w:val="-8"/>
        </w:rPr>
        <w:t> </w:t>
      </w:r>
      <w:r>
        <w:rPr/>
        <w:t>en</w:t>
      </w:r>
      <w:r>
        <w:rPr>
          <w:spacing w:val="-9"/>
        </w:rPr>
        <w:t> </w:t>
      </w:r>
      <w:r>
        <w:rPr/>
        <w:t>tiempos</w:t>
      </w:r>
      <w:r>
        <w:rPr>
          <w:spacing w:val="-9"/>
        </w:rPr>
        <w:t> </w:t>
      </w:r>
      <w:r>
        <w:rPr/>
        <w:t>de</w:t>
      </w:r>
      <w:r>
        <w:rPr>
          <w:spacing w:val="-8"/>
        </w:rPr>
        <w:t> </w:t>
      </w:r>
      <w:r>
        <w:rPr/>
        <w:t>crisis económica, el gobierno puede ajustar la tasa del IGV o exonerar ciertos bienes y servicios</w:t>
      </w:r>
      <w:r>
        <w:rPr>
          <w:spacing w:val="-3"/>
        </w:rPr>
        <w:t> </w:t>
      </w:r>
      <w:r>
        <w:rPr/>
        <w:t>para</w:t>
      </w:r>
      <w:r>
        <w:rPr>
          <w:spacing w:val="-3"/>
        </w:rPr>
        <w:t> </w:t>
      </w:r>
      <w:r>
        <w:rPr/>
        <w:t>incentivar</w:t>
      </w:r>
      <w:r>
        <w:rPr>
          <w:spacing w:val="-3"/>
        </w:rPr>
        <w:t> </w:t>
      </w:r>
      <w:r>
        <w:rPr/>
        <w:t>el</w:t>
      </w:r>
      <w:r>
        <w:rPr>
          <w:spacing w:val="-4"/>
        </w:rPr>
        <w:t> </w:t>
      </w:r>
      <w:r>
        <w:rPr/>
        <w:t>gasto</w:t>
      </w:r>
      <w:r>
        <w:rPr>
          <w:spacing w:val="-3"/>
        </w:rPr>
        <w:t> </w:t>
      </w:r>
      <w:r>
        <w:rPr/>
        <w:t>y</w:t>
      </w:r>
      <w:r>
        <w:rPr>
          <w:spacing w:val="-3"/>
        </w:rPr>
        <w:t> </w:t>
      </w:r>
      <w:r>
        <w:rPr/>
        <w:t>revitalizar</w:t>
      </w:r>
      <w:r>
        <w:rPr>
          <w:spacing w:val="-3"/>
        </w:rPr>
        <w:t> </w:t>
      </w:r>
      <w:r>
        <w:rPr/>
        <w:t>la</w:t>
      </w:r>
      <w:r>
        <w:rPr>
          <w:spacing w:val="-5"/>
        </w:rPr>
        <w:t> </w:t>
      </w:r>
      <w:r>
        <w:rPr/>
        <w:t>economía.</w:t>
      </w:r>
      <w:r>
        <w:rPr>
          <w:spacing w:val="-2"/>
        </w:rPr>
        <w:t> </w:t>
      </w:r>
      <w:r>
        <w:rPr/>
        <w:t>Esto</w:t>
      </w:r>
      <w:r>
        <w:rPr>
          <w:spacing w:val="-3"/>
        </w:rPr>
        <w:t> </w:t>
      </w:r>
      <w:r>
        <w:rPr/>
        <w:t>le</w:t>
      </w:r>
      <w:r>
        <w:rPr>
          <w:spacing w:val="-3"/>
        </w:rPr>
        <w:t> </w:t>
      </w:r>
      <w:r>
        <w:rPr/>
        <w:t>da</w:t>
      </w:r>
      <w:r>
        <w:rPr>
          <w:spacing w:val="-5"/>
        </w:rPr>
        <w:t> </w:t>
      </w:r>
      <w:r>
        <w:rPr/>
        <w:t>al</w:t>
      </w:r>
      <w:r>
        <w:rPr>
          <w:spacing w:val="-5"/>
        </w:rPr>
        <w:t> </w:t>
      </w:r>
      <w:r>
        <w:rPr/>
        <w:t>gobierno un control significativo sobre la economía a través de la fiscalidad.</w:t>
      </w:r>
    </w:p>
    <w:p>
      <w:pPr>
        <w:pStyle w:val="Heading3"/>
        <w:numPr>
          <w:ilvl w:val="3"/>
          <w:numId w:val="10"/>
        </w:numPr>
        <w:tabs>
          <w:tab w:pos="1135" w:val="left" w:leader="none"/>
        </w:tabs>
        <w:spacing w:line="240" w:lineRule="auto" w:before="1" w:after="0"/>
        <w:ind w:left="1135" w:right="0" w:hanging="360"/>
        <w:jc w:val="both"/>
      </w:pPr>
      <w:r>
        <w:rPr/>
        <w:t>Transparencia</w:t>
      </w:r>
      <w:r>
        <w:rPr>
          <w:spacing w:val="-2"/>
        </w:rPr>
        <w:t> </w:t>
      </w:r>
      <w:r>
        <w:rPr/>
        <w:t>y</w:t>
      </w:r>
      <w:r>
        <w:rPr>
          <w:spacing w:val="-1"/>
        </w:rPr>
        <w:t> </w:t>
      </w:r>
      <w:r>
        <w:rPr/>
        <w:t>Control</w:t>
      </w:r>
      <w:r>
        <w:rPr>
          <w:spacing w:val="-2"/>
        </w:rPr>
        <w:t> Fiscal</w:t>
      </w:r>
    </w:p>
    <w:p>
      <w:pPr>
        <w:pStyle w:val="BodyText"/>
        <w:rPr>
          <w:b/>
        </w:rPr>
      </w:pPr>
    </w:p>
    <w:p>
      <w:pPr>
        <w:pStyle w:val="BodyText"/>
        <w:spacing w:line="480" w:lineRule="auto"/>
        <w:ind w:left="1135" w:right="994" w:firstLine="720"/>
        <w:jc w:val="both"/>
      </w:pPr>
      <w:r>
        <w:rPr/>
        <w:t>La administración del IGV permite al gobierno monitorear y regular las transacciones comerciales, lo que contribuye a una mayor transparencia en la economía. Este control facilita la detección de prácticas evasivas y la promoción de la responsabilidad fiscal entre los contribuyentes.</w:t>
      </w:r>
    </w:p>
    <w:p>
      <w:pPr>
        <w:pStyle w:val="Heading3"/>
        <w:numPr>
          <w:ilvl w:val="2"/>
          <w:numId w:val="11"/>
        </w:numPr>
        <w:tabs>
          <w:tab w:pos="1169" w:val="left" w:leader="none"/>
        </w:tabs>
        <w:spacing w:line="240" w:lineRule="auto" w:before="0" w:after="0"/>
        <w:ind w:left="1169" w:right="0" w:hanging="600"/>
        <w:jc w:val="both"/>
      </w:pPr>
      <w:r>
        <w:rPr/>
        <w:t>Principios</w:t>
      </w:r>
      <w:r>
        <w:rPr>
          <w:spacing w:val="-2"/>
        </w:rPr>
        <w:t> </w:t>
      </w:r>
      <w:r>
        <w:rPr/>
        <w:t>del</w:t>
      </w:r>
      <w:r>
        <w:rPr>
          <w:spacing w:val="-1"/>
        </w:rPr>
        <w:t> </w:t>
      </w:r>
      <w:r>
        <w:rPr/>
        <w:t>Impuesto</w:t>
      </w:r>
      <w:r>
        <w:rPr>
          <w:spacing w:val="-2"/>
        </w:rPr>
        <w:t> </w:t>
      </w:r>
      <w:r>
        <w:rPr/>
        <w:t>General</w:t>
      </w:r>
      <w:r>
        <w:rPr>
          <w:spacing w:val="-2"/>
        </w:rPr>
        <w:t> </w:t>
      </w:r>
      <w:r>
        <w:rPr/>
        <w:t>de</w:t>
      </w:r>
      <w:r>
        <w:rPr>
          <w:spacing w:val="-1"/>
        </w:rPr>
        <w:t> </w:t>
      </w:r>
      <w:r>
        <w:rPr/>
        <w:t>las</w:t>
      </w:r>
      <w:r>
        <w:rPr>
          <w:spacing w:val="-1"/>
        </w:rPr>
        <w:t> </w:t>
      </w:r>
      <w:r>
        <w:rPr>
          <w:spacing w:val="-2"/>
        </w:rPr>
        <w:t>Ventas.</w:t>
      </w:r>
    </w:p>
    <w:p>
      <w:pPr>
        <w:pStyle w:val="BodyText"/>
        <w:rPr>
          <w:b/>
        </w:rPr>
      </w:pPr>
    </w:p>
    <w:p>
      <w:pPr>
        <w:pStyle w:val="ListParagraph"/>
        <w:numPr>
          <w:ilvl w:val="3"/>
          <w:numId w:val="11"/>
        </w:numPr>
        <w:tabs>
          <w:tab w:pos="1103" w:val="left" w:leader="none"/>
        </w:tabs>
        <w:spacing w:line="240" w:lineRule="auto" w:before="0" w:after="0"/>
        <w:ind w:left="1103" w:right="0" w:hanging="240"/>
        <w:jc w:val="both"/>
        <w:rPr>
          <w:b/>
          <w:sz w:val="24"/>
        </w:rPr>
      </w:pPr>
      <w:r>
        <w:rPr>
          <w:b/>
          <w:spacing w:val="-2"/>
          <w:sz w:val="24"/>
        </w:rPr>
        <w:t>Equidad</w:t>
      </w:r>
    </w:p>
    <w:p>
      <w:pPr>
        <w:pStyle w:val="BodyText"/>
        <w:rPr>
          <w:b/>
        </w:rPr>
      </w:pPr>
    </w:p>
    <w:p>
      <w:pPr>
        <w:pStyle w:val="BodyText"/>
        <w:spacing w:line="480" w:lineRule="auto"/>
        <w:ind w:left="1135" w:right="992" w:firstLine="720"/>
        <w:jc w:val="both"/>
      </w:pPr>
      <w:r>
        <w:rPr/>
        <w:t>La</w:t>
      </w:r>
      <w:r>
        <w:rPr>
          <w:spacing w:val="-13"/>
        </w:rPr>
        <w:t> </w:t>
      </w:r>
      <w:r>
        <w:rPr/>
        <w:t>equidad</w:t>
      </w:r>
      <w:r>
        <w:rPr>
          <w:spacing w:val="-10"/>
        </w:rPr>
        <w:t> </w:t>
      </w:r>
      <w:r>
        <w:rPr/>
        <w:t>en</w:t>
      </w:r>
      <w:r>
        <w:rPr>
          <w:spacing w:val="-12"/>
        </w:rPr>
        <w:t> </w:t>
      </w:r>
      <w:r>
        <w:rPr/>
        <w:t>la</w:t>
      </w:r>
      <w:r>
        <w:rPr>
          <w:spacing w:val="-13"/>
        </w:rPr>
        <w:t> </w:t>
      </w:r>
      <w:r>
        <w:rPr/>
        <w:t>aplicación</w:t>
      </w:r>
      <w:r>
        <w:rPr>
          <w:spacing w:val="-11"/>
        </w:rPr>
        <w:t> </w:t>
      </w:r>
      <w:r>
        <w:rPr/>
        <w:t>del</w:t>
      </w:r>
      <w:r>
        <w:rPr>
          <w:spacing w:val="-12"/>
        </w:rPr>
        <w:t> </w:t>
      </w:r>
      <w:r>
        <w:rPr/>
        <w:t>Tributo</w:t>
      </w:r>
      <w:r>
        <w:rPr>
          <w:spacing w:val="-12"/>
        </w:rPr>
        <w:t> </w:t>
      </w:r>
      <w:r>
        <w:rPr/>
        <w:t>General</w:t>
      </w:r>
      <w:r>
        <w:rPr>
          <w:spacing w:val="-12"/>
        </w:rPr>
        <w:t> </w:t>
      </w:r>
      <w:r>
        <w:rPr/>
        <w:t>a</w:t>
      </w:r>
      <w:r>
        <w:rPr>
          <w:spacing w:val="-10"/>
        </w:rPr>
        <w:t> </w:t>
      </w:r>
      <w:r>
        <w:rPr/>
        <w:t>las</w:t>
      </w:r>
      <w:r>
        <w:rPr>
          <w:spacing w:val="-11"/>
        </w:rPr>
        <w:t> </w:t>
      </w:r>
      <w:r>
        <w:rPr/>
        <w:t>Transacciones</w:t>
      </w:r>
      <w:r>
        <w:rPr>
          <w:spacing w:val="-11"/>
        </w:rPr>
        <w:t> </w:t>
      </w:r>
      <w:r>
        <w:rPr/>
        <w:t>(IGV) se refiere a la justicia en la carga fiscal impuesta a los contribuyentes. Este principio se manifiesta de dos maneras:</w:t>
      </w:r>
    </w:p>
    <w:p>
      <w:pPr>
        <w:pStyle w:val="BodyText"/>
        <w:spacing w:after="0" w:line="480" w:lineRule="auto"/>
        <w:jc w:val="both"/>
        <w:sectPr>
          <w:pgSz w:w="11910" w:h="16840"/>
          <w:pgMar w:header="0" w:footer="693" w:top="1340" w:bottom="880" w:left="1559" w:right="425"/>
        </w:sectPr>
      </w:pPr>
    </w:p>
    <w:p>
      <w:pPr>
        <w:pStyle w:val="ListParagraph"/>
        <w:numPr>
          <w:ilvl w:val="4"/>
          <w:numId w:val="11"/>
        </w:numPr>
        <w:tabs>
          <w:tab w:pos="1985" w:val="left" w:leader="none"/>
        </w:tabs>
        <w:spacing w:line="480" w:lineRule="auto" w:before="66" w:after="0"/>
        <w:ind w:left="1985" w:right="992" w:hanging="360"/>
        <w:jc w:val="both"/>
        <w:rPr>
          <w:sz w:val="24"/>
        </w:rPr>
      </w:pPr>
      <w:r>
        <w:rPr>
          <w:b/>
          <w:sz w:val="24"/>
        </w:rPr>
        <w:t>Equidad horizontal: </w:t>
      </w:r>
      <w:r>
        <w:rPr>
          <w:sz w:val="24"/>
        </w:rPr>
        <w:t>Este principio sostiene que los individuos y empresas con ingresos similares deben pagar impuestos similares. En el contexto del IGV, esto significa que los consumidores que realizan compras de bienes y servicios de igual valor deberían pagar el mismo monto</w:t>
      </w:r>
      <w:r>
        <w:rPr>
          <w:spacing w:val="-8"/>
          <w:sz w:val="24"/>
        </w:rPr>
        <w:t> </w:t>
      </w:r>
      <w:r>
        <w:rPr>
          <w:sz w:val="24"/>
        </w:rPr>
        <w:t>de</w:t>
      </w:r>
      <w:r>
        <w:rPr>
          <w:spacing w:val="-8"/>
          <w:sz w:val="24"/>
        </w:rPr>
        <w:t> </w:t>
      </w:r>
      <w:r>
        <w:rPr>
          <w:sz w:val="24"/>
        </w:rPr>
        <w:t>impuesto.</w:t>
      </w:r>
      <w:r>
        <w:rPr>
          <w:spacing w:val="-6"/>
          <w:sz w:val="24"/>
        </w:rPr>
        <w:t> </w:t>
      </w:r>
      <w:r>
        <w:rPr>
          <w:sz w:val="24"/>
        </w:rPr>
        <w:t>Para</w:t>
      </w:r>
      <w:r>
        <w:rPr>
          <w:spacing w:val="-8"/>
          <w:sz w:val="24"/>
        </w:rPr>
        <w:t> </w:t>
      </w:r>
      <w:r>
        <w:rPr>
          <w:sz w:val="24"/>
        </w:rPr>
        <w:t>lograr</w:t>
      </w:r>
      <w:r>
        <w:rPr>
          <w:spacing w:val="-8"/>
          <w:sz w:val="24"/>
        </w:rPr>
        <w:t> </w:t>
      </w:r>
      <w:r>
        <w:rPr>
          <w:sz w:val="24"/>
        </w:rPr>
        <w:t>esta</w:t>
      </w:r>
      <w:r>
        <w:rPr>
          <w:spacing w:val="-9"/>
          <w:sz w:val="24"/>
        </w:rPr>
        <w:t> </w:t>
      </w:r>
      <w:r>
        <w:rPr>
          <w:sz w:val="24"/>
        </w:rPr>
        <w:t>equidad,</w:t>
      </w:r>
      <w:r>
        <w:rPr>
          <w:spacing w:val="-8"/>
          <w:sz w:val="24"/>
        </w:rPr>
        <w:t> </w:t>
      </w:r>
      <w:r>
        <w:rPr>
          <w:sz w:val="24"/>
        </w:rPr>
        <w:t>el</w:t>
      </w:r>
      <w:r>
        <w:rPr>
          <w:spacing w:val="-9"/>
          <w:sz w:val="24"/>
        </w:rPr>
        <w:t> </w:t>
      </w:r>
      <w:r>
        <w:rPr>
          <w:sz w:val="24"/>
        </w:rPr>
        <w:t>IGV</w:t>
      </w:r>
      <w:r>
        <w:rPr>
          <w:spacing w:val="-7"/>
          <w:sz w:val="24"/>
        </w:rPr>
        <w:t> </w:t>
      </w:r>
      <w:r>
        <w:rPr>
          <w:sz w:val="24"/>
        </w:rPr>
        <w:t>se</w:t>
      </w:r>
      <w:r>
        <w:rPr>
          <w:spacing w:val="-7"/>
          <w:sz w:val="24"/>
        </w:rPr>
        <w:t> </w:t>
      </w:r>
      <w:r>
        <w:rPr>
          <w:sz w:val="24"/>
        </w:rPr>
        <w:t>aplica</w:t>
      </w:r>
      <w:r>
        <w:rPr>
          <w:spacing w:val="-6"/>
          <w:sz w:val="24"/>
        </w:rPr>
        <w:t> </w:t>
      </w:r>
      <w:r>
        <w:rPr>
          <w:sz w:val="24"/>
        </w:rPr>
        <w:t>de</w:t>
      </w:r>
      <w:r>
        <w:rPr>
          <w:spacing w:val="-8"/>
          <w:sz w:val="24"/>
        </w:rPr>
        <w:t> </w:t>
      </w:r>
      <w:r>
        <w:rPr>
          <w:sz w:val="24"/>
        </w:rPr>
        <w:t>manera uniforme a todas las transacciones gravadas, independientemente del nivel de ingreso del consumidor.</w:t>
      </w:r>
    </w:p>
    <w:p>
      <w:pPr>
        <w:pStyle w:val="ListParagraph"/>
        <w:numPr>
          <w:ilvl w:val="4"/>
          <w:numId w:val="11"/>
        </w:numPr>
        <w:tabs>
          <w:tab w:pos="1985" w:val="left" w:leader="none"/>
        </w:tabs>
        <w:spacing w:line="480" w:lineRule="auto" w:before="1" w:after="0"/>
        <w:ind w:left="1985" w:right="990" w:hanging="360"/>
        <w:jc w:val="both"/>
        <w:rPr>
          <w:sz w:val="24"/>
        </w:rPr>
      </w:pPr>
      <w:r>
        <w:rPr>
          <w:b/>
          <w:sz w:val="24"/>
        </w:rPr>
        <w:t>Equidad vertical: </w:t>
      </w:r>
      <w:r>
        <w:rPr>
          <w:sz w:val="24"/>
        </w:rPr>
        <w:t>Este principio se centra en la habilidad de abono de los aportantes. En este sentido, el IGV, al ser un impuesto indirecto, puede</w:t>
      </w:r>
      <w:r>
        <w:rPr>
          <w:spacing w:val="-7"/>
          <w:sz w:val="24"/>
        </w:rPr>
        <w:t> </w:t>
      </w:r>
      <w:r>
        <w:rPr>
          <w:sz w:val="24"/>
        </w:rPr>
        <w:t>ser</w:t>
      </w:r>
      <w:r>
        <w:rPr>
          <w:spacing w:val="-5"/>
          <w:sz w:val="24"/>
        </w:rPr>
        <w:t> </w:t>
      </w:r>
      <w:r>
        <w:rPr>
          <w:sz w:val="24"/>
        </w:rPr>
        <w:t>considerado</w:t>
      </w:r>
      <w:r>
        <w:rPr>
          <w:spacing w:val="-5"/>
          <w:sz w:val="24"/>
        </w:rPr>
        <w:t> </w:t>
      </w:r>
      <w:r>
        <w:rPr>
          <w:sz w:val="24"/>
        </w:rPr>
        <w:t>regresivo,</w:t>
      </w:r>
      <w:r>
        <w:rPr>
          <w:spacing w:val="-6"/>
          <w:sz w:val="24"/>
        </w:rPr>
        <w:t> </w:t>
      </w:r>
      <w:r>
        <w:rPr>
          <w:sz w:val="24"/>
        </w:rPr>
        <w:t>ya</w:t>
      </w:r>
      <w:r>
        <w:rPr>
          <w:spacing w:val="-4"/>
          <w:sz w:val="24"/>
        </w:rPr>
        <w:t> </w:t>
      </w:r>
      <w:r>
        <w:rPr>
          <w:sz w:val="24"/>
        </w:rPr>
        <w:t>que</w:t>
      </w:r>
      <w:r>
        <w:rPr>
          <w:spacing w:val="-6"/>
          <w:sz w:val="24"/>
        </w:rPr>
        <w:t> </w:t>
      </w:r>
      <w:r>
        <w:rPr>
          <w:sz w:val="24"/>
        </w:rPr>
        <w:t>afecta</w:t>
      </w:r>
      <w:r>
        <w:rPr>
          <w:spacing w:val="-7"/>
          <w:sz w:val="24"/>
        </w:rPr>
        <w:t> </w:t>
      </w:r>
      <w:r>
        <w:rPr>
          <w:sz w:val="24"/>
        </w:rPr>
        <w:t>proporcionalmente</w:t>
      </w:r>
      <w:r>
        <w:rPr>
          <w:spacing w:val="-6"/>
          <w:sz w:val="24"/>
        </w:rPr>
        <w:t> </w:t>
      </w:r>
      <w:r>
        <w:rPr>
          <w:sz w:val="24"/>
        </w:rPr>
        <w:t>más</w:t>
      </w:r>
      <w:r>
        <w:rPr>
          <w:spacing w:val="-2"/>
          <w:sz w:val="24"/>
        </w:rPr>
        <w:t> </w:t>
      </w:r>
      <w:r>
        <w:rPr>
          <w:sz w:val="24"/>
        </w:rPr>
        <w:t>a los hogares de menores ingresos. Sin embargo, la estructura del sistema tributario en su conjunto busca compensar esta regresividad a través de políticas sociales y otros impuestos progresivos. Es crucial que la administración tributaria implemente medidas que mitiguen el impacto del IGV en los sectores más vulnerables, como exenciones o tasas diferenciadas para productos de primera necesidad.</w:t>
      </w:r>
    </w:p>
    <w:p>
      <w:pPr>
        <w:pStyle w:val="BodyText"/>
      </w:pPr>
    </w:p>
    <w:p>
      <w:pPr>
        <w:pStyle w:val="BodyText"/>
        <w:spacing w:before="1"/>
      </w:pPr>
    </w:p>
    <w:p>
      <w:pPr>
        <w:pStyle w:val="Heading3"/>
        <w:numPr>
          <w:ilvl w:val="3"/>
          <w:numId w:val="11"/>
        </w:numPr>
        <w:tabs>
          <w:tab w:pos="1091" w:val="left" w:leader="none"/>
        </w:tabs>
        <w:spacing w:line="240" w:lineRule="auto" w:before="0" w:after="0"/>
        <w:ind w:left="1091" w:right="0" w:hanging="240"/>
        <w:jc w:val="left"/>
      </w:pPr>
      <w:r>
        <w:rPr>
          <w:spacing w:val="-2"/>
        </w:rPr>
        <w:t>Eficiencia</w:t>
      </w:r>
    </w:p>
    <w:p>
      <w:pPr>
        <w:pStyle w:val="BodyText"/>
        <w:rPr>
          <w:b/>
        </w:rPr>
      </w:pPr>
    </w:p>
    <w:p>
      <w:pPr>
        <w:pStyle w:val="BodyText"/>
        <w:spacing w:line="480" w:lineRule="auto"/>
        <w:ind w:left="1135" w:right="989" w:firstLine="720"/>
        <w:jc w:val="both"/>
      </w:pPr>
      <w:r>
        <w:rPr/>
        <w:t>La eficiencia del IGV se refiere a su capacidad para generar ingresos fiscales</w:t>
      </w:r>
      <w:r>
        <w:rPr>
          <w:spacing w:val="-6"/>
        </w:rPr>
        <w:t> </w:t>
      </w:r>
      <w:r>
        <w:rPr/>
        <w:t>de</w:t>
      </w:r>
      <w:r>
        <w:rPr>
          <w:spacing w:val="-7"/>
        </w:rPr>
        <w:t> </w:t>
      </w:r>
      <w:r>
        <w:rPr/>
        <w:t>manera</w:t>
      </w:r>
      <w:r>
        <w:rPr>
          <w:spacing w:val="-7"/>
        </w:rPr>
        <w:t> </w:t>
      </w:r>
      <w:r>
        <w:rPr/>
        <w:t>efectiva</w:t>
      </w:r>
      <w:r>
        <w:rPr>
          <w:spacing w:val="-7"/>
        </w:rPr>
        <w:t> </w:t>
      </w:r>
      <w:r>
        <w:rPr/>
        <w:t>y</w:t>
      </w:r>
      <w:r>
        <w:rPr>
          <w:spacing w:val="-6"/>
        </w:rPr>
        <w:t> </w:t>
      </w:r>
      <w:r>
        <w:rPr/>
        <w:t>sin</w:t>
      </w:r>
      <w:r>
        <w:rPr>
          <w:spacing w:val="-7"/>
        </w:rPr>
        <w:t> </w:t>
      </w:r>
      <w:r>
        <w:rPr/>
        <w:t>distorsionar</w:t>
      </w:r>
      <w:r>
        <w:rPr>
          <w:spacing w:val="-7"/>
        </w:rPr>
        <w:t> </w:t>
      </w:r>
      <w:r>
        <w:rPr/>
        <w:t>el</w:t>
      </w:r>
      <w:r>
        <w:rPr>
          <w:spacing w:val="-7"/>
        </w:rPr>
        <w:t> </w:t>
      </w:r>
      <w:r>
        <w:rPr/>
        <w:t>comportamiento</w:t>
      </w:r>
      <w:r>
        <w:rPr>
          <w:spacing w:val="-7"/>
        </w:rPr>
        <w:t> </w:t>
      </w:r>
      <w:r>
        <w:rPr/>
        <w:t>económico.</w:t>
      </w:r>
      <w:r>
        <w:rPr>
          <w:spacing w:val="-3"/>
        </w:rPr>
        <w:t> </w:t>
      </w:r>
      <w:r>
        <w:rPr/>
        <w:t>Este principio se analiza através de varios aspectos:</w:t>
      </w:r>
    </w:p>
    <w:p>
      <w:pPr>
        <w:pStyle w:val="ListParagraph"/>
        <w:numPr>
          <w:ilvl w:val="4"/>
          <w:numId w:val="11"/>
        </w:numPr>
        <w:tabs>
          <w:tab w:pos="1985" w:val="left" w:leader="none"/>
        </w:tabs>
        <w:spacing w:line="480" w:lineRule="auto" w:before="0" w:after="0"/>
        <w:ind w:left="1985" w:right="993" w:hanging="360"/>
        <w:jc w:val="both"/>
        <w:rPr>
          <w:sz w:val="24"/>
        </w:rPr>
      </w:pPr>
      <w:r>
        <w:rPr>
          <w:b/>
          <w:sz w:val="24"/>
        </w:rPr>
        <w:t>Recaudación</w:t>
      </w:r>
      <w:r>
        <w:rPr>
          <w:b/>
          <w:spacing w:val="-8"/>
          <w:sz w:val="24"/>
        </w:rPr>
        <w:t> </w:t>
      </w:r>
      <w:r>
        <w:rPr>
          <w:b/>
          <w:sz w:val="24"/>
        </w:rPr>
        <w:t>efectiva:</w:t>
      </w:r>
      <w:r>
        <w:rPr>
          <w:b/>
          <w:spacing w:val="-8"/>
          <w:sz w:val="24"/>
        </w:rPr>
        <w:t> </w:t>
      </w:r>
      <w:r>
        <w:rPr>
          <w:sz w:val="24"/>
        </w:rPr>
        <w:t>El</w:t>
      </w:r>
      <w:r>
        <w:rPr>
          <w:spacing w:val="-10"/>
          <w:sz w:val="24"/>
        </w:rPr>
        <w:t> </w:t>
      </w:r>
      <w:r>
        <w:rPr>
          <w:sz w:val="24"/>
        </w:rPr>
        <w:t>IGV</w:t>
      </w:r>
      <w:r>
        <w:rPr>
          <w:spacing w:val="-8"/>
          <w:sz w:val="24"/>
        </w:rPr>
        <w:t> </w:t>
      </w:r>
      <w:r>
        <w:rPr>
          <w:sz w:val="24"/>
        </w:rPr>
        <w:t>es</w:t>
      </w:r>
      <w:r>
        <w:rPr>
          <w:spacing w:val="-8"/>
          <w:sz w:val="24"/>
        </w:rPr>
        <w:t> </w:t>
      </w:r>
      <w:r>
        <w:rPr>
          <w:sz w:val="24"/>
        </w:rPr>
        <w:t>una</w:t>
      </w:r>
      <w:r>
        <w:rPr>
          <w:spacing w:val="-9"/>
          <w:sz w:val="24"/>
        </w:rPr>
        <w:t> </w:t>
      </w:r>
      <w:r>
        <w:rPr>
          <w:sz w:val="24"/>
        </w:rPr>
        <w:t>corriente</w:t>
      </w:r>
      <w:r>
        <w:rPr>
          <w:spacing w:val="-9"/>
          <w:sz w:val="24"/>
        </w:rPr>
        <w:t> </w:t>
      </w:r>
      <w:r>
        <w:rPr>
          <w:sz w:val="24"/>
        </w:rPr>
        <w:t>significativa</w:t>
      </w:r>
      <w:r>
        <w:rPr>
          <w:spacing w:val="-7"/>
          <w:sz w:val="24"/>
        </w:rPr>
        <w:t> </w:t>
      </w:r>
      <w:r>
        <w:rPr>
          <w:sz w:val="24"/>
        </w:rPr>
        <w:t>de</w:t>
      </w:r>
      <w:r>
        <w:rPr>
          <w:spacing w:val="-9"/>
          <w:sz w:val="24"/>
        </w:rPr>
        <w:t> </w:t>
      </w:r>
      <w:r>
        <w:rPr>
          <w:sz w:val="24"/>
        </w:rPr>
        <w:t>recursos para el Gobierno. Su diseño permite una recaudación relativamente sencilla</w:t>
      </w:r>
      <w:r>
        <w:rPr>
          <w:spacing w:val="40"/>
          <w:sz w:val="24"/>
        </w:rPr>
        <w:t> </w:t>
      </w:r>
      <w:r>
        <w:rPr>
          <w:sz w:val="24"/>
        </w:rPr>
        <w:t>y</w:t>
      </w:r>
      <w:r>
        <w:rPr>
          <w:spacing w:val="40"/>
          <w:sz w:val="24"/>
        </w:rPr>
        <w:t> </w:t>
      </w:r>
      <w:r>
        <w:rPr>
          <w:sz w:val="24"/>
        </w:rPr>
        <w:t>directa,</w:t>
      </w:r>
      <w:r>
        <w:rPr>
          <w:spacing w:val="40"/>
          <w:sz w:val="24"/>
        </w:rPr>
        <w:t> </w:t>
      </w:r>
      <w:r>
        <w:rPr>
          <w:sz w:val="24"/>
        </w:rPr>
        <w:t>puesto</w:t>
      </w:r>
      <w:r>
        <w:rPr>
          <w:spacing w:val="40"/>
          <w:sz w:val="24"/>
        </w:rPr>
        <w:t> </w:t>
      </w:r>
      <w:r>
        <w:rPr>
          <w:sz w:val="24"/>
        </w:rPr>
        <w:t>que</w:t>
      </w:r>
      <w:r>
        <w:rPr>
          <w:spacing w:val="40"/>
          <w:sz w:val="24"/>
        </w:rPr>
        <w:t> </w:t>
      </w:r>
      <w:r>
        <w:rPr>
          <w:sz w:val="24"/>
        </w:rPr>
        <w:t>se</w:t>
      </w:r>
      <w:r>
        <w:rPr>
          <w:spacing w:val="40"/>
          <w:sz w:val="24"/>
        </w:rPr>
        <w:t> </w:t>
      </w:r>
      <w:r>
        <w:rPr>
          <w:sz w:val="24"/>
        </w:rPr>
        <w:t>impone</w:t>
      </w:r>
      <w:r>
        <w:rPr>
          <w:spacing w:val="40"/>
          <w:sz w:val="24"/>
        </w:rPr>
        <w:t> </w:t>
      </w:r>
      <w:r>
        <w:rPr>
          <w:sz w:val="24"/>
        </w:rPr>
        <w:t>a</w:t>
      </w:r>
      <w:r>
        <w:rPr>
          <w:spacing w:val="40"/>
          <w:sz w:val="24"/>
        </w:rPr>
        <w:t> </w:t>
      </w:r>
      <w:r>
        <w:rPr>
          <w:sz w:val="24"/>
        </w:rPr>
        <w:t>casi</w:t>
      </w:r>
      <w:r>
        <w:rPr>
          <w:spacing w:val="40"/>
          <w:sz w:val="24"/>
        </w:rPr>
        <w:t> </w:t>
      </w:r>
      <w:r>
        <w:rPr>
          <w:sz w:val="24"/>
        </w:rPr>
        <w:t>todos</w:t>
      </w:r>
      <w:r>
        <w:rPr>
          <w:spacing w:val="40"/>
          <w:sz w:val="24"/>
        </w:rPr>
        <w:t> </w:t>
      </w:r>
      <w:r>
        <w:rPr>
          <w:sz w:val="24"/>
        </w:rPr>
        <w:t>los</w:t>
      </w:r>
      <w:r>
        <w:rPr>
          <w:spacing w:val="40"/>
          <w:sz w:val="24"/>
        </w:rPr>
        <w:t> </w:t>
      </w:r>
      <w:r>
        <w:rPr>
          <w:sz w:val="24"/>
        </w:rPr>
        <w:t>activos</w:t>
      </w:r>
      <w:r>
        <w:rPr>
          <w:spacing w:val="40"/>
          <w:sz w:val="24"/>
        </w:rPr>
        <w:t> </w:t>
      </w:r>
      <w:r>
        <w:rPr>
          <w:sz w:val="24"/>
        </w:rPr>
        <w:t>y</w:t>
      </w:r>
    </w:p>
    <w:p>
      <w:pPr>
        <w:pStyle w:val="ListParagraph"/>
        <w:spacing w:after="0" w:line="480" w:lineRule="auto"/>
        <w:jc w:val="both"/>
        <w:rPr>
          <w:sz w:val="24"/>
        </w:rPr>
        <w:sectPr>
          <w:pgSz w:w="11910" w:h="16840"/>
          <w:pgMar w:header="0" w:footer="693" w:top="1340" w:bottom="880" w:left="1559" w:right="425"/>
        </w:sectPr>
      </w:pPr>
    </w:p>
    <w:p>
      <w:pPr>
        <w:pStyle w:val="BodyText"/>
        <w:spacing w:line="480" w:lineRule="auto" w:before="66"/>
        <w:ind w:left="1985" w:right="993"/>
        <w:jc w:val="both"/>
      </w:pPr>
      <w:r>
        <w:rPr/>
        <w:t>prestaciones. Esto asegura que el gobierno obtenga los recursos necesarios para financiar sus programas y políticas públicas.</w:t>
      </w:r>
    </w:p>
    <w:p>
      <w:pPr>
        <w:pStyle w:val="ListParagraph"/>
        <w:numPr>
          <w:ilvl w:val="4"/>
          <w:numId w:val="11"/>
        </w:numPr>
        <w:tabs>
          <w:tab w:pos="1985" w:val="left" w:leader="none"/>
        </w:tabs>
        <w:spacing w:line="480" w:lineRule="auto" w:before="1" w:after="0"/>
        <w:ind w:left="1985" w:right="992" w:hanging="360"/>
        <w:jc w:val="both"/>
        <w:rPr>
          <w:sz w:val="24"/>
        </w:rPr>
      </w:pPr>
      <w:r>
        <w:rPr>
          <w:b/>
          <w:sz w:val="24"/>
        </w:rPr>
        <w:t>Minimización de distorsiones: </w:t>
      </w:r>
      <w:r>
        <w:rPr>
          <w:sz w:val="24"/>
        </w:rPr>
        <w:t>Un impuesto eficiente no debe alterar significativamente las decisiones de consumo y producción. El IGV, al ser un impuesto sobre el consumo, tiene un impacto limitado en las decisiones</w:t>
      </w:r>
      <w:r>
        <w:rPr>
          <w:spacing w:val="-6"/>
          <w:sz w:val="24"/>
        </w:rPr>
        <w:t> </w:t>
      </w:r>
      <w:r>
        <w:rPr>
          <w:sz w:val="24"/>
        </w:rPr>
        <w:t>de</w:t>
      </w:r>
      <w:r>
        <w:rPr>
          <w:spacing w:val="-4"/>
          <w:sz w:val="24"/>
        </w:rPr>
        <w:t> </w:t>
      </w:r>
      <w:r>
        <w:rPr>
          <w:sz w:val="24"/>
        </w:rPr>
        <w:t>ahorro</w:t>
      </w:r>
      <w:r>
        <w:rPr>
          <w:spacing w:val="-4"/>
          <w:sz w:val="24"/>
        </w:rPr>
        <w:t> </w:t>
      </w:r>
      <w:r>
        <w:rPr>
          <w:sz w:val="24"/>
        </w:rPr>
        <w:t>e</w:t>
      </w:r>
      <w:r>
        <w:rPr>
          <w:spacing w:val="-7"/>
          <w:sz w:val="24"/>
        </w:rPr>
        <w:t> </w:t>
      </w:r>
      <w:r>
        <w:rPr>
          <w:sz w:val="24"/>
        </w:rPr>
        <w:t>inversión</w:t>
      </w:r>
      <w:r>
        <w:rPr>
          <w:spacing w:val="-7"/>
          <w:sz w:val="24"/>
        </w:rPr>
        <w:t> </w:t>
      </w:r>
      <w:r>
        <w:rPr>
          <w:sz w:val="24"/>
        </w:rPr>
        <w:t>a</w:t>
      </w:r>
      <w:r>
        <w:rPr>
          <w:spacing w:val="-4"/>
          <w:sz w:val="24"/>
        </w:rPr>
        <w:t> </w:t>
      </w:r>
      <w:r>
        <w:rPr>
          <w:sz w:val="24"/>
        </w:rPr>
        <w:t>corto</w:t>
      </w:r>
      <w:r>
        <w:rPr>
          <w:spacing w:val="-7"/>
          <w:sz w:val="24"/>
        </w:rPr>
        <w:t> </w:t>
      </w:r>
      <w:r>
        <w:rPr>
          <w:sz w:val="24"/>
        </w:rPr>
        <w:t>plazo.</w:t>
      </w:r>
      <w:r>
        <w:rPr>
          <w:spacing w:val="-6"/>
          <w:sz w:val="24"/>
        </w:rPr>
        <w:t> </w:t>
      </w:r>
      <w:r>
        <w:rPr>
          <w:sz w:val="24"/>
        </w:rPr>
        <w:t>Además,</w:t>
      </w:r>
      <w:r>
        <w:rPr>
          <w:spacing w:val="-6"/>
          <w:sz w:val="24"/>
        </w:rPr>
        <w:t> </w:t>
      </w:r>
      <w:r>
        <w:rPr>
          <w:sz w:val="24"/>
        </w:rPr>
        <w:t>su</w:t>
      </w:r>
      <w:r>
        <w:rPr>
          <w:spacing w:val="-6"/>
          <w:sz w:val="24"/>
        </w:rPr>
        <w:t> </w:t>
      </w:r>
      <w:r>
        <w:rPr>
          <w:sz w:val="24"/>
        </w:rPr>
        <w:t>aplicación</w:t>
      </w:r>
      <w:r>
        <w:rPr>
          <w:spacing w:val="-6"/>
          <w:sz w:val="24"/>
        </w:rPr>
        <w:t> </w:t>
      </w:r>
      <w:r>
        <w:rPr>
          <w:sz w:val="24"/>
        </w:rPr>
        <w:t>en etapas de producción y distribución (cascada) ayuda a evitar la acumulación de impuestos, lo que puede llevar a distorsiones en los precios de mercado.</w:t>
      </w:r>
    </w:p>
    <w:p>
      <w:pPr>
        <w:pStyle w:val="ListParagraph"/>
        <w:numPr>
          <w:ilvl w:val="4"/>
          <w:numId w:val="11"/>
        </w:numPr>
        <w:tabs>
          <w:tab w:pos="1985" w:val="left" w:leader="none"/>
        </w:tabs>
        <w:spacing w:line="480" w:lineRule="auto" w:before="0" w:after="0"/>
        <w:ind w:left="1985" w:right="991" w:hanging="360"/>
        <w:jc w:val="both"/>
        <w:rPr>
          <w:sz w:val="24"/>
        </w:rPr>
      </w:pPr>
      <w:r>
        <w:rPr>
          <w:b/>
          <w:sz w:val="24"/>
        </w:rPr>
        <w:t>Efecto en el comportamiento económico: </w:t>
      </w:r>
      <w:r>
        <w:rPr>
          <w:sz w:val="24"/>
        </w:rPr>
        <w:t>El IGV puede afectar la conducta de los consumidores y productores. Por ejemplo, una tasa de IGV elevada puede desalentar la adquisición de activos y prestaciones gravados,</w:t>
      </w:r>
      <w:r>
        <w:rPr>
          <w:spacing w:val="-5"/>
          <w:sz w:val="24"/>
        </w:rPr>
        <w:t> </w:t>
      </w:r>
      <w:r>
        <w:rPr>
          <w:sz w:val="24"/>
        </w:rPr>
        <w:t>lo</w:t>
      </w:r>
      <w:r>
        <w:rPr>
          <w:spacing w:val="-6"/>
          <w:sz w:val="24"/>
        </w:rPr>
        <w:t> </w:t>
      </w:r>
      <w:r>
        <w:rPr>
          <w:sz w:val="24"/>
        </w:rPr>
        <w:t>que</w:t>
      </w:r>
      <w:r>
        <w:rPr>
          <w:spacing w:val="-6"/>
          <w:sz w:val="24"/>
        </w:rPr>
        <w:t> </w:t>
      </w:r>
      <w:r>
        <w:rPr>
          <w:sz w:val="24"/>
        </w:rPr>
        <w:t>puede</w:t>
      </w:r>
      <w:r>
        <w:rPr>
          <w:spacing w:val="-6"/>
          <w:sz w:val="24"/>
        </w:rPr>
        <w:t> </w:t>
      </w:r>
      <w:r>
        <w:rPr>
          <w:sz w:val="24"/>
        </w:rPr>
        <w:t>tener</w:t>
      </w:r>
      <w:r>
        <w:rPr>
          <w:spacing w:val="-6"/>
          <w:sz w:val="24"/>
        </w:rPr>
        <w:t> </w:t>
      </w:r>
      <w:r>
        <w:rPr>
          <w:sz w:val="24"/>
        </w:rPr>
        <w:t>un</w:t>
      </w:r>
      <w:r>
        <w:rPr>
          <w:spacing w:val="-3"/>
          <w:sz w:val="24"/>
        </w:rPr>
        <w:t> </w:t>
      </w:r>
      <w:r>
        <w:rPr>
          <w:sz w:val="24"/>
        </w:rPr>
        <w:t>impacto</w:t>
      </w:r>
      <w:r>
        <w:rPr>
          <w:spacing w:val="-3"/>
          <w:sz w:val="24"/>
        </w:rPr>
        <w:t> </w:t>
      </w:r>
      <w:r>
        <w:rPr>
          <w:sz w:val="24"/>
        </w:rPr>
        <w:t>en</w:t>
      </w:r>
      <w:r>
        <w:rPr>
          <w:spacing w:val="-6"/>
          <w:sz w:val="24"/>
        </w:rPr>
        <w:t> </w:t>
      </w:r>
      <w:r>
        <w:rPr>
          <w:sz w:val="24"/>
        </w:rPr>
        <w:t>la</w:t>
      </w:r>
      <w:r>
        <w:rPr>
          <w:spacing w:val="-5"/>
          <w:sz w:val="24"/>
        </w:rPr>
        <w:t> </w:t>
      </w:r>
      <w:r>
        <w:rPr>
          <w:sz w:val="24"/>
        </w:rPr>
        <w:t>demanda</w:t>
      </w:r>
      <w:r>
        <w:rPr>
          <w:spacing w:val="-5"/>
          <w:sz w:val="24"/>
        </w:rPr>
        <w:t> </w:t>
      </w:r>
      <w:r>
        <w:rPr>
          <w:sz w:val="24"/>
        </w:rPr>
        <w:t>agregada.</w:t>
      </w:r>
      <w:r>
        <w:rPr>
          <w:spacing w:val="-5"/>
          <w:sz w:val="24"/>
        </w:rPr>
        <w:t> </w:t>
      </w:r>
      <w:r>
        <w:rPr>
          <w:sz w:val="24"/>
        </w:rPr>
        <w:t>Por</w:t>
      </w:r>
      <w:r>
        <w:rPr>
          <w:spacing w:val="-3"/>
          <w:sz w:val="24"/>
        </w:rPr>
        <w:t> </w:t>
      </w:r>
      <w:r>
        <w:rPr>
          <w:sz w:val="24"/>
        </w:rPr>
        <w:t>lo tanto, es esencial que la administración del IGV mantenga un equilibrio entre la recaudación de ingresos y la promoción del crecimiento </w:t>
      </w:r>
      <w:r>
        <w:rPr>
          <w:spacing w:val="-2"/>
          <w:sz w:val="24"/>
        </w:rPr>
        <w:t>económico.</w:t>
      </w:r>
    </w:p>
    <w:p>
      <w:pPr>
        <w:pStyle w:val="BodyText"/>
      </w:pPr>
    </w:p>
    <w:p>
      <w:pPr>
        <w:pStyle w:val="BodyText"/>
        <w:spacing w:before="1"/>
      </w:pPr>
    </w:p>
    <w:p>
      <w:pPr>
        <w:pStyle w:val="Heading3"/>
        <w:numPr>
          <w:ilvl w:val="3"/>
          <w:numId w:val="11"/>
        </w:numPr>
        <w:tabs>
          <w:tab w:pos="1103" w:val="left" w:leader="none"/>
        </w:tabs>
        <w:spacing w:line="240" w:lineRule="auto" w:before="0" w:after="0"/>
        <w:ind w:left="1103" w:right="0" w:hanging="240"/>
        <w:jc w:val="left"/>
      </w:pPr>
      <w:r>
        <w:rPr>
          <w:spacing w:val="-2"/>
        </w:rPr>
        <w:t>Transparencia</w:t>
      </w:r>
    </w:p>
    <w:p>
      <w:pPr>
        <w:pStyle w:val="BodyText"/>
        <w:rPr>
          <w:b/>
        </w:rPr>
      </w:pPr>
    </w:p>
    <w:p>
      <w:pPr>
        <w:pStyle w:val="BodyText"/>
        <w:spacing w:line="480" w:lineRule="auto"/>
        <w:ind w:left="1135" w:right="993" w:firstLine="720"/>
        <w:jc w:val="both"/>
      </w:pPr>
      <w:r>
        <w:rPr/>
        <w:t>La transparencia en el sistema de recaudación del IGV es esencial para crear confianza en los aportantes y garantizar el correcto funcionamiento del sistema fiscal. Este principio se aborda de las siguientes maneras:</w:t>
      </w:r>
    </w:p>
    <w:p>
      <w:pPr>
        <w:pStyle w:val="ListParagraph"/>
        <w:numPr>
          <w:ilvl w:val="4"/>
          <w:numId w:val="11"/>
        </w:numPr>
        <w:tabs>
          <w:tab w:pos="2129" w:val="left" w:leader="none"/>
        </w:tabs>
        <w:spacing w:line="480" w:lineRule="auto" w:before="0" w:after="0"/>
        <w:ind w:left="2129" w:right="989" w:hanging="360"/>
        <w:jc w:val="both"/>
        <w:rPr>
          <w:sz w:val="24"/>
        </w:rPr>
      </w:pPr>
      <w:r>
        <w:rPr>
          <w:b/>
          <w:sz w:val="24"/>
        </w:rPr>
        <w:t>Claridad en la normativa: </w:t>
      </w:r>
      <w:r>
        <w:rPr>
          <w:sz w:val="24"/>
        </w:rPr>
        <w:t>La legislación que regula el IGV debe ser clara y accesible para todos los contribuyentes. Esto incluye la definición</w:t>
      </w:r>
      <w:r>
        <w:rPr>
          <w:spacing w:val="-15"/>
          <w:sz w:val="24"/>
        </w:rPr>
        <w:t> </w:t>
      </w:r>
      <w:r>
        <w:rPr>
          <w:sz w:val="24"/>
        </w:rPr>
        <w:t>de</w:t>
      </w:r>
      <w:r>
        <w:rPr>
          <w:spacing w:val="-15"/>
          <w:sz w:val="24"/>
        </w:rPr>
        <w:t> </w:t>
      </w:r>
      <w:r>
        <w:rPr>
          <w:sz w:val="24"/>
        </w:rPr>
        <w:t>qué</w:t>
      </w:r>
      <w:r>
        <w:rPr>
          <w:spacing w:val="-15"/>
          <w:sz w:val="24"/>
        </w:rPr>
        <w:t> </w:t>
      </w:r>
      <w:r>
        <w:rPr>
          <w:sz w:val="24"/>
        </w:rPr>
        <w:t>bienes</w:t>
      </w:r>
      <w:r>
        <w:rPr>
          <w:spacing w:val="-14"/>
          <w:sz w:val="24"/>
        </w:rPr>
        <w:t> </w:t>
      </w:r>
      <w:r>
        <w:rPr>
          <w:sz w:val="24"/>
        </w:rPr>
        <w:t>y</w:t>
      </w:r>
      <w:r>
        <w:rPr>
          <w:spacing w:val="-15"/>
          <w:sz w:val="24"/>
        </w:rPr>
        <w:t> </w:t>
      </w:r>
      <w:r>
        <w:rPr>
          <w:sz w:val="24"/>
        </w:rPr>
        <w:t>servicios</w:t>
      </w:r>
      <w:r>
        <w:rPr>
          <w:spacing w:val="-14"/>
          <w:sz w:val="24"/>
        </w:rPr>
        <w:t> </w:t>
      </w:r>
      <w:r>
        <w:rPr>
          <w:sz w:val="24"/>
        </w:rPr>
        <w:t>están</w:t>
      </w:r>
      <w:r>
        <w:rPr>
          <w:spacing w:val="-12"/>
          <w:sz w:val="24"/>
        </w:rPr>
        <w:t> </w:t>
      </w:r>
      <w:r>
        <w:rPr>
          <w:sz w:val="24"/>
        </w:rPr>
        <w:t>gravados,</w:t>
      </w:r>
      <w:r>
        <w:rPr>
          <w:spacing w:val="-14"/>
          <w:sz w:val="24"/>
        </w:rPr>
        <w:t> </w:t>
      </w:r>
      <w:r>
        <w:rPr>
          <w:sz w:val="24"/>
        </w:rPr>
        <w:t>las</w:t>
      </w:r>
      <w:r>
        <w:rPr>
          <w:spacing w:val="-14"/>
          <w:sz w:val="24"/>
        </w:rPr>
        <w:t> </w:t>
      </w:r>
      <w:r>
        <w:rPr>
          <w:sz w:val="24"/>
        </w:rPr>
        <w:t>tasas</w:t>
      </w:r>
      <w:r>
        <w:rPr>
          <w:spacing w:val="-14"/>
          <w:sz w:val="24"/>
        </w:rPr>
        <w:t> </w:t>
      </w:r>
      <w:r>
        <w:rPr>
          <w:sz w:val="24"/>
        </w:rPr>
        <w:t>aplicables,</w:t>
      </w:r>
    </w:p>
    <w:p>
      <w:pPr>
        <w:pStyle w:val="ListParagraph"/>
        <w:spacing w:after="0" w:line="480" w:lineRule="auto"/>
        <w:jc w:val="both"/>
        <w:rPr>
          <w:sz w:val="24"/>
        </w:rPr>
        <w:sectPr>
          <w:pgSz w:w="11910" w:h="16840"/>
          <w:pgMar w:header="0" w:footer="693" w:top="1340" w:bottom="880" w:left="1559" w:right="425"/>
        </w:sectPr>
      </w:pPr>
    </w:p>
    <w:p>
      <w:pPr>
        <w:pStyle w:val="BodyText"/>
        <w:spacing w:line="480" w:lineRule="auto" w:before="66"/>
        <w:ind w:left="2129" w:right="992"/>
        <w:jc w:val="both"/>
      </w:pPr>
      <w:r>
        <w:rPr/>
        <w:t>y</w:t>
      </w:r>
      <w:r>
        <w:rPr>
          <w:spacing w:val="-7"/>
        </w:rPr>
        <w:t> </w:t>
      </w:r>
      <w:r>
        <w:rPr/>
        <w:t>los</w:t>
      </w:r>
      <w:r>
        <w:rPr>
          <w:spacing w:val="-6"/>
        </w:rPr>
        <w:t> </w:t>
      </w:r>
      <w:r>
        <w:rPr/>
        <w:t>procedimientos</w:t>
      </w:r>
      <w:r>
        <w:rPr>
          <w:spacing w:val="-6"/>
        </w:rPr>
        <w:t> </w:t>
      </w:r>
      <w:r>
        <w:rPr/>
        <w:t>para</w:t>
      </w:r>
      <w:r>
        <w:rPr>
          <w:spacing w:val="-8"/>
        </w:rPr>
        <w:t> </w:t>
      </w:r>
      <w:r>
        <w:rPr/>
        <w:t>la</w:t>
      </w:r>
      <w:r>
        <w:rPr>
          <w:spacing w:val="-7"/>
        </w:rPr>
        <w:t> </w:t>
      </w:r>
      <w:r>
        <w:rPr/>
        <w:t>entrega</w:t>
      </w:r>
      <w:r>
        <w:rPr>
          <w:spacing w:val="-8"/>
        </w:rPr>
        <w:t> </w:t>
      </w:r>
      <w:r>
        <w:rPr/>
        <w:t>y</w:t>
      </w:r>
      <w:r>
        <w:rPr>
          <w:spacing w:val="-5"/>
        </w:rPr>
        <w:t> </w:t>
      </w:r>
      <w:r>
        <w:rPr/>
        <w:t>abono</w:t>
      </w:r>
      <w:r>
        <w:rPr>
          <w:spacing w:val="-7"/>
        </w:rPr>
        <w:t> </w:t>
      </w:r>
      <w:r>
        <w:rPr/>
        <w:t>del</w:t>
      </w:r>
      <w:r>
        <w:rPr>
          <w:spacing w:val="-8"/>
        </w:rPr>
        <w:t> </w:t>
      </w:r>
      <w:r>
        <w:rPr/>
        <w:t>tributo.</w:t>
      </w:r>
      <w:r>
        <w:rPr>
          <w:spacing w:val="-5"/>
        </w:rPr>
        <w:t> </w:t>
      </w:r>
      <w:r>
        <w:rPr/>
        <w:t>La</w:t>
      </w:r>
      <w:r>
        <w:rPr>
          <w:spacing w:val="-8"/>
        </w:rPr>
        <w:t> </w:t>
      </w:r>
      <w:r>
        <w:rPr/>
        <w:t>claridad</w:t>
      </w:r>
      <w:r>
        <w:rPr>
          <w:spacing w:val="-7"/>
        </w:rPr>
        <w:t> </w:t>
      </w:r>
      <w:r>
        <w:rPr/>
        <w:t>en la normativa evita confusiones y reduce la posibilidad de evasión.</w:t>
      </w:r>
    </w:p>
    <w:p>
      <w:pPr>
        <w:pStyle w:val="ListParagraph"/>
        <w:numPr>
          <w:ilvl w:val="4"/>
          <w:numId w:val="11"/>
        </w:numPr>
        <w:tabs>
          <w:tab w:pos="2129" w:val="left" w:leader="none"/>
        </w:tabs>
        <w:spacing w:line="480" w:lineRule="auto" w:before="1" w:after="0"/>
        <w:ind w:left="2129" w:right="990" w:hanging="360"/>
        <w:jc w:val="both"/>
        <w:rPr>
          <w:sz w:val="24"/>
        </w:rPr>
      </w:pPr>
      <w:r>
        <w:rPr>
          <w:b/>
          <w:sz w:val="24"/>
        </w:rPr>
        <w:t>Visibilidad de la recaudación: </w:t>
      </w:r>
      <w:r>
        <w:rPr>
          <w:sz w:val="24"/>
        </w:rPr>
        <w:t>La administración tributaria debe </w:t>
      </w:r>
      <w:r>
        <w:rPr>
          <w:spacing w:val="-2"/>
          <w:sz w:val="24"/>
        </w:rPr>
        <w:t>proporcionar</w:t>
      </w:r>
      <w:r>
        <w:rPr>
          <w:spacing w:val="-5"/>
          <w:sz w:val="24"/>
        </w:rPr>
        <w:t> </w:t>
      </w:r>
      <w:r>
        <w:rPr>
          <w:spacing w:val="-2"/>
          <w:sz w:val="24"/>
        </w:rPr>
        <w:t>información</w:t>
      </w:r>
      <w:r>
        <w:rPr>
          <w:spacing w:val="-3"/>
          <w:sz w:val="24"/>
        </w:rPr>
        <w:t> </w:t>
      </w:r>
      <w:r>
        <w:rPr>
          <w:spacing w:val="-2"/>
          <w:sz w:val="24"/>
        </w:rPr>
        <w:t>sobre</w:t>
      </w:r>
      <w:r>
        <w:rPr>
          <w:spacing w:val="-5"/>
          <w:sz w:val="24"/>
        </w:rPr>
        <w:t> </w:t>
      </w:r>
      <w:r>
        <w:rPr>
          <w:spacing w:val="-2"/>
          <w:sz w:val="24"/>
        </w:rPr>
        <w:t>cómo</w:t>
      </w:r>
      <w:r>
        <w:rPr>
          <w:spacing w:val="-3"/>
          <w:sz w:val="24"/>
        </w:rPr>
        <w:t> </w:t>
      </w:r>
      <w:r>
        <w:rPr>
          <w:spacing w:val="-2"/>
          <w:sz w:val="24"/>
        </w:rPr>
        <w:t>se</w:t>
      </w:r>
      <w:r>
        <w:rPr>
          <w:spacing w:val="-3"/>
          <w:sz w:val="24"/>
        </w:rPr>
        <w:t> </w:t>
      </w:r>
      <w:r>
        <w:rPr>
          <w:spacing w:val="-2"/>
          <w:sz w:val="24"/>
        </w:rPr>
        <w:t>utilizan</w:t>
      </w:r>
      <w:r>
        <w:rPr>
          <w:spacing w:val="-5"/>
          <w:sz w:val="24"/>
        </w:rPr>
        <w:t> </w:t>
      </w:r>
      <w:r>
        <w:rPr>
          <w:spacing w:val="-2"/>
          <w:sz w:val="24"/>
        </w:rPr>
        <w:t>los</w:t>
      </w:r>
      <w:r>
        <w:rPr>
          <w:spacing w:val="-3"/>
          <w:sz w:val="24"/>
        </w:rPr>
        <w:t> </w:t>
      </w:r>
      <w:r>
        <w:rPr>
          <w:spacing w:val="-2"/>
          <w:sz w:val="24"/>
        </w:rPr>
        <w:t>ingresos</w:t>
      </w:r>
      <w:r>
        <w:rPr>
          <w:spacing w:val="-3"/>
          <w:sz w:val="24"/>
        </w:rPr>
        <w:t> </w:t>
      </w:r>
      <w:r>
        <w:rPr>
          <w:spacing w:val="-2"/>
          <w:sz w:val="24"/>
        </w:rPr>
        <w:t>generados </w:t>
      </w:r>
      <w:r>
        <w:rPr>
          <w:sz w:val="24"/>
        </w:rPr>
        <w:t>por el IGV. Publicar datos sobre la recaudación, las inversiones realizadas y los beneficios sociales generados permite a los contribuyentes comprender</w:t>
      </w:r>
      <w:r>
        <w:rPr>
          <w:spacing w:val="-1"/>
          <w:sz w:val="24"/>
        </w:rPr>
        <w:t> </w:t>
      </w:r>
      <w:r>
        <w:rPr>
          <w:sz w:val="24"/>
        </w:rPr>
        <w:t>el</w:t>
      </w:r>
      <w:r>
        <w:rPr>
          <w:spacing w:val="-2"/>
          <w:sz w:val="24"/>
        </w:rPr>
        <w:t> </w:t>
      </w:r>
      <w:r>
        <w:rPr>
          <w:sz w:val="24"/>
        </w:rPr>
        <w:t>impacto</w:t>
      </w:r>
      <w:r>
        <w:rPr>
          <w:spacing w:val="-1"/>
          <w:sz w:val="24"/>
        </w:rPr>
        <w:t> </w:t>
      </w:r>
      <w:r>
        <w:rPr>
          <w:sz w:val="24"/>
        </w:rPr>
        <w:t>de sus contribuciones</w:t>
      </w:r>
      <w:r>
        <w:rPr>
          <w:spacing w:val="-1"/>
          <w:sz w:val="24"/>
        </w:rPr>
        <w:t> </w:t>
      </w:r>
      <w:r>
        <w:rPr>
          <w:sz w:val="24"/>
        </w:rPr>
        <w:t>fiscales</w:t>
      </w:r>
      <w:r>
        <w:rPr>
          <w:spacing w:val="-1"/>
          <w:sz w:val="24"/>
        </w:rPr>
        <w:t> </w:t>
      </w:r>
      <w:r>
        <w:rPr>
          <w:sz w:val="24"/>
        </w:rPr>
        <w:t>y fomenta la responsabilidad gubernamental.</w:t>
      </w:r>
    </w:p>
    <w:p>
      <w:pPr>
        <w:pStyle w:val="ListParagraph"/>
        <w:numPr>
          <w:ilvl w:val="4"/>
          <w:numId w:val="11"/>
        </w:numPr>
        <w:tabs>
          <w:tab w:pos="2129" w:val="left" w:leader="none"/>
        </w:tabs>
        <w:spacing w:line="480" w:lineRule="auto" w:before="0" w:after="0"/>
        <w:ind w:left="2129" w:right="990" w:hanging="360"/>
        <w:jc w:val="both"/>
        <w:rPr>
          <w:sz w:val="24"/>
        </w:rPr>
      </w:pPr>
      <w:r>
        <w:rPr>
          <w:b/>
          <w:sz w:val="24"/>
        </w:rPr>
        <w:t>Facilidad de cumplimiento: </w:t>
      </w:r>
      <w:r>
        <w:rPr>
          <w:sz w:val="24"/>
        </w:rPr>
        <w:t>Un sistema de recaudación transparente debe facilitar a los aportantes el cumplimiento de sus deberes tributarios. Esto incluye la simplificación de los procesos de registro y pago, así como la provisión de herramientas y recursos informativos que ayuden a los contribuyentes a entender sus responsabilidades.</w:t>
      </w:r>
    </w:p>
    <w:p>
      <w:pPr>
        <w:pStyle w:val="Heading3"/>
        <w:numPr>
          <w:ilvl w:val="2"/>
          <w:numId w:val="11"/>
        </w:numPr>
        <w:tabs>
          <w:tab w:pos="1169" w:val="left" w:leader="none"/>
        </w:tabs>
        <w:spacing w:line="240" w:lineRule="auto" w:before="1" w:after="0"/>
        <w:ind w:left="1169" w:right="0" w:hanging="600"/>
        <w:jc w:val="both"/>
      </w:pPr>
      <w:r>
        <w:rPr/>
        <w:t>Funcionamiento</w:t>
      </w:r>
      <w:r>
        <w:rPr>
          <w:spacing w:val="-1"/>
        </w:rPr>
        <w:t> </w:t>
      </w:r>
      <w:r>
        <w:rPr/>
        <w:t>del</w:t>
      </w:r>
      <w:r>
        <w:rPr>
          <w:spacing w:val="-3"/>
        </w:rPr>
        <w:t> </w:t>
      </w:r>
      <w:r>
        <w:rPr/>
        <w:t>Impuesto</w:t>
      </w:r>
      <w:r>
        <w:rPr>
          <w:spacing w:val="-1"/>
        </w:rPr>
        <w:t> </w:t>
      </w:r>
      <w:r>
        <w:rPr/>
        <w:t>General</w:t>
      </w:r>
      <w:r>
        <w:rPr>
          <w:spacing w:val="-2"/>
        </w:rPr>
        <w:t> </w:t>
      </w:r>
      <w:r>
        <w:rPr/>
        <w:t>de</w:t>
      </w:r>
      <w:r>
        <w:rPr>
          <w:spacing w:val="-1"/>
        </w:rPr>
        <w:t> </w:t>
      </w:r>
      <w:r>
        <w:rPr/>
        <w:t>las</w:t>
      </w:r>
      <w:r>
        <w:rPr>
          <w:spacing w:val="-1"/>
        </w:rPr>
        <w:t> </w:t>
      </w:r>
      <w:r>
        <w:rPr>
          <w:spacing w:val="-2"/>
        </w:rPr>
        <w:t>Ventas.</w:t>
      </w:r>
    </w:p>
    <w:p>
      <w:pPr>
        <w:pStyle w:val="ListParagraph"/>
        <w:numPr>
          <w:ilvl w:val="3"/>
          <w:numId w:val="11"/>
        </w:numPr>
        <w:tabs>
          <w:tab w:pos="1559" w:val="left" w:leader="none"/>
        </w:tabs>
        <w:spacing w:line="240" w:lineRule="auto" w:before="276" w:after="0"/>
        <w:ind w:left="1559" w:right="0" w:hanging="424"/>
        <w:jc w:val="left"/>
        <w:rPr>
          <w:b/>
          <w:sz w:val="24"/>
        </w:rPr>
      </w:pPr>
      <w:r>
        <w:rPr>
          <w:b/>
          <w:sz w:val="24"/>
        </w:rPr>
        <w:t>Base </w:t>
      </w:r>
      <w:r>
        <w:rPr>
          <w:b/>
          <w:spacing w:val="-2"/>
          <w:sz w:val="24"/>
        </w:rPr>
        <w:t>Imponible</w:t>
      </w:r>
    </w:p>
    <w:p>
      <w:pPr>
        <w:pStyle w:val="BodyText"/>
        <w:rPr>
          <w:b/>
        </w:rPr>
      </w:pPr>
    </w:p>
    <w:p>
      <w:pPr>
        <w:pStyle w:val="BodyText"/>
        <w:spacing w:line="480" w:lineRule="auto"/>
        <w:ind w:left="1419" w:right="992" w:firstLine="720"/>
        <w:jc w:val="both"/>
      </w:pPr>
      <w:r>
        <w:rPr/>
        <w:t>La base gravable del IGV se refiere a la cantidad sobre la cual se determina el tributo. Este elemento es crucial para determinar cuánto debe pagar</w:t>
      </w:r>
      <w:r>
        <w:rPr>
          <w:spacing w:val="-10"/>
        </w:rPr>
        <w:t> </w:t>
      </w:r>
      <w:r>
        <w:rPr/>
        <w:t>un</w:t>
      </w:r>
      <w:r>
        <w:rPr>
          <w:spacing w:val="-7"/>
        </w:rPr>
        <w:t> </w:t>
      </w:r>
      <w:r>
        <w:rPr/>
        <w:t>contribuyente.</w:t>
      </w:r>
      <w:r>
        <w:rPr>
          <w:spacing w:val="-7"/>
        </w:rPr>
        <w:t> </w:t>
      </w:r>
      <w:r>
        <w:rPr/>
        <w:t>La</w:t>
      </w:r>
      <w:r>
        <w:rPr>
          <w:spacing w:val="-9"/>
        </w:rPr>
        <w:t> </w:t>
      </w:r>
      <w:r>
        <w:rPr/>
        <w:t>base</w:t>
      </w:r>
      <w:r>
        <w:rPr>
          <w:spacing w:val="-9"/>
        </w:rPr>
        <w:t> </w:t>
      </w:r>
      <w:r>
        <w:rPr/>
        <w:t>imponible</w:t>
      </w:r>
      <w:r>
        <w:rPr>
          <w:spacing w:val="-7"/>
        </w:rPr>
        <w:t> </w:t>
      </w:r>
      <w:r>
        <w:rPr/>
        <w:t>se</w:t>
      </w:r>
      <w:r>
        <w:rPr>
          <w:spacing w:val="-8"/>
        </w:rPr>
        <w:t> </w:t>
      </w:r>
      <w:r>
        <w:rPr/>
        <w:t>establece</w:t>
      </w:r>
      <w:r>
        <w:rPr>
          <w:spacing w:val="-8"/>
        </w:rPr>
        <w:t> </w:t>
      </w:r>
      <w:r>
        <w:rPr/>
        <w:t>de</w:t>
      </w:r>
      <w:r>
        <w:rPr>
          <w:spacing w:val="-9"/>
        </w:rPr>
        <w:t> </w:t>
      </w:r>
      <w:r>
        <w:rPr/>
        <w:t>la</w:t>
      </w:r>
      <w:r>
        <w:rPr>
          <w:spacing w:val="-9"/>
        </w:rPr>
        <w:t> </w:t>
      </w:r>
      <w:r>
        <w:rPr/>
        <w:t>siguiente</w:t>
      </w:r>
      <w:r>
        <w:rPr>
          <w:spacing w:val="-8"/>
        </w:rPr>
        <w:t> </w:t>
      </w:r>
      <w:r>
        <w:rPr>
          <w:spacing w:val="-2"/>
        </w:rPr>
        <w:t>manera:</w:t>
      </w:r>
    </w:p>
    <w:p>
      <w:pPr>
        <w:pStyle w:val="ListParagraph"/>
        <w:numPr>
          <w:ilvl w:val="4"/>
          <w:numId w:val="11"/>
        </w:numPr>
        <w:tabs>
          <w:tab w:pos="2627" w:val="left" w:leader="none"/>
        </w:tabs>
        <w:spacing w:line="480" w:lineRule="auto" w:before="0" w:after="0"/>
        <w:ind w:left="2627" w:right="988" w:hanging="360"/>
        <w:jc w:val="both"/>
        <w:rPr>
          <w:sz w:val="24"/>
        </w:rPr>
      </w:pPr>
      <w:r>
        <w:rPr>
          <w:b/>
          <w:sz w:val="24"/>
        </w:rPr>
        <w:t>Concepto</w:t>
      </w:r>
      <w:r>
        <w:rPr>
          <w:b/>
          <w:spacing w:val="-1"/>
          <w:sz w:val="24"/>
        </w:rPr>
        <w:t> </w:t>
      </w:r>
      <w:r>
        <w:rPr>
          <w:b/>
          <w:sz w:val="24"/>
        </w:rPr>
        <w:t>de</w:t>
      </w:r>
      <w:r>
        <w:rPr>
          <w:b/>
          <w:spacing w:val="-2"/>
          <w:sz w:val="24"/>
        </w:rPr>
        <w:t> </w:t>
      </w:r>
      <w:r>
        <w:rPr>
          <w:b/>
          <w:sz w:val="24"/>
        </w:rPr>
        <w:t>la</w:t>
      </w:r>
      <w:r>
        <w:rPr>
          <w:b/>
          <w:spacing w:val="-3"/>
          <w:sz w:val="24"/>
        </w:rPr>
        <w:t> </w:t>
      </w:r>
      <w:r>
        <w:rPr>
          <w:b/>
          <w:sz w:val="24"/>
        </w:rPr>
        <w:t>base</w:t>
      </w:r>
      <w:r>
        <w:rPr>
          <w:b/>
          <w:spacing w:val="-2"/>
          <w:sz w:val="24"/>
        </w:rPr>
        <w:t> </w:t>
      </w:r>
      <w:r>
        <w:rPr>
          <w:b/>
          <w:sz w:val="24"/>
        </w:rPr>
        <w:t>imponible: </w:t>
      </w:r>
      <w:r>
        <w:rPr>
          <w:sz w:val="24"/>
        </w:rPr>
        <w:t>En</w:t>
      </w:r>
      <w:r>
        <w:rPr>
          <w:spacing w:val="-2"/>
          <w:sz w:val="24"/>
        </w:rPr>
        <w:t> </w:t>
      </w:r>
      <w:r>
        <w:rPr>
          <w:sz w:val="24"/>
        </w:rPr>
        <w:t>general,</w:t>
      </w:r>
      <w:r>
        <w:rPr>
          <w:spacing w:val="-2"/>
          <w:sz w:val="24"/>
        </w:rPr>
        <w:t> </w:t>
      </w:r>
      <w:r>
        <w:rPr>
          <w:sz w:val="24"/>
        </w:rPr>
        <w:t>se</w:t>
      </w:r>
      <w:r>
        <w:rPr>
          <w:spacing w:val="-2"/>
          <w:sz w:val="24"/>
        </w:rPr>
        <w:t> </w:t>
      </w:r>
      <w:r>
        <w:rPr>
          <w:sz w:val="24"/>
        </w:rPr>
        <w:t>grava</w:t>
      </w:r>
      <w:r>
        <w:rPr>
          <w:spacing w:val="-1"/>
          <w:sz w:val="24"/>
        </w:rPr>
        <w:t> </w:t>
      </w:r>
      <w:r>
        <w:rPr>
          <w:sz w:val="24"/>
        </w:rPr>
        <w:t>el</w:t>
      </w:r>
      <w:r>
        <w:rPr>
          <w:spacing w:val="-3"/>
          <w:sz w:val="24"/>
        </w:rPr>
        <w:t> </w:t>
      </w:r>
      <w:r>
        <w:rPr>
          <w:sz w:val="24"/>
        </w:rPr>
        <w:t>valor de venta de los productos y prestaciones disponibles en el mercado, de igual manera las importaciones. Esto incluye cualquier compensación</w:t>
      </w:r>
      <w:r>
        <w:rPr>
          <w:spacing w:val="-10"/>
          <w:sz w:val="24"/>
        </w:rPr>
        <w:t> </w:t>
      </w:r>
      <w:r>
        <w:rPr>
          <w:sz w:val="24"/>
        </w:rPr>
        <w:t>económica</w:t>
      </w:r>
      <w:r>
        <w:rPr>
          <w:spacing w:val="-13"/>
          <w:sz w:val="24"/>
        </w:rPr>
        <w:t> </w:t>
      </w:r>
      <w:r>
        <w:rPr>
          <w:sz w:val="24"/>
        </w:rPr>
        <w:t>que</w:t>
      </w:r>
      <w:r>
        <w:rPr>
          <w:spacing w:val="-11"/>
          <w:sz w:val="24"/>
        </w:rPr>
        <w:t> </w:t>
      </w:r>
      <w:r>
        <w:rPr>
          <w:sz w:val="24"/>
        </w:rPr>
        <w:t>el</w:t>
      </w:r>
      <w:r>
        <w:rPr>
          <w:spacing w:val="-14"/>
          <w:sz w:val="24"/>
        </w:rPr>
        <w:t> </w:t>
      </w:r>
      <w:r>
        <w:rPr>
          <w:sz w:val="24"/>
        </w:rPr>
        <w:t>vendedor</w:t>
      </w:r>
      <w:r>
        <w:rPr>
          <w:spacing w:val="-10"/>
          <w:sz w:val="24"/>
        </w:rPr>
        <w:t> </w:t>
      </w:r>
      <w:r>
        <w:rPr>
          <w:sz w:val="24"/>
        </w:rPr>
        <w:t>reciba</w:t>
      </w:r>
      <w:r>
        <w:rPr>
          <w:spacing w:val="-13"/>
          <w:sz w:val="24"/>
        </w:rPr>
        <w:t> </w:t>
      </w:r>
      <w:r>
        <w:rPr>
          <w:sz w:val="24"/>
        </w:rPr>
        <w:t>por</w:t>
      </w:r>
      <w:r>
        <w:rPr>
          <w:spacing w:val="-12"/>
          <w:sz w:val="24"/>
        </w:rPr>
        <w:t> </w:t>
      </w:r>
      <w:r>
        <w:rPr>
          <w:sz w:val="24"/>
        </w:rPr>
        <w:t>la</w:t>
      </w:r>
      <w:r>
        <w:rPr>
          <w:spacing w:val="-14"/>
          <w:sz w:val="24"/>
        </w:rPr>
        <w:t> </w:t>
      </w:r>
      <w:r>
        <w:rPr>
          <w:sz w:val="24"/>
        </w:rPr>
        <w:t>entrega</w:t>
      </w:r>
      <w:r>
        <w:rPr>
          <w:spacing w:val="-11"/>
          <w:sz w:val="24"/>
        </w:rPr>
        <w:t> </w:t>
      </w:r>
      <w:r>
        <w:rPr>
          <w:sz w:val="24"/>
        </w:rPr>
        <w:t>de productos</w:t>
      </w:r>
      <w:r>
        <w:rPr>
          <w:spacing w:val="-8"/>
          <w:sz w:val="24"/>
        </w:rPr>
        <w:t> </w:t>
      </w:r>
      <w:r>
        <w:rPr>
          <w:sz w:val="24"/>
        </w:rPr>
        <w:t>o</w:t>
      </w:r>
      <w:r>
        <w:rPr>
          <w:spacing w:val="-9"/>
          <w:sz w:val="24"/>
        </w:rPr>
        <w:t> </w:t>
      </w:r>
      <w:r>
        <w:rPr>
          <w:sz w:val="24"/>
        </w:rPr>
        <w:t>la</w:t>
      </w:r>
      <w:r>
        <w:rPr>
          <w:spacing w:val="-10"/>
          <w:sz w:val="24"/>
        </w:rPr>
        <w:t> </w:t>
      </w:r>
      <w:r>
        <w:rPr>
          <w:sz w:val="24"/>
        </w:rPr>
        <w:t>provisión</w:t>
      </w:r>
      <w:r>
        <w:rPr>
          <w:spacing w:val="-9"/>
          <w:sz w:val="24"/>
        </w:rPr>
        <w:t> </w:t>
      </w:r>
      <w:r>
        <w:rPr>
          <w:sz w:val="24"/>
        </w:rPr>
        <w:t>de</w:t>
      </w:r>
      <w:r>
        <w:rPr>
          <w:spacing w:val="-9"/>
          <w:sz w:val="24"/>
        </w:rPr>
        <w:t> </w:t>
      </w:r>
      <w:r>
        <w:rPr>
          <w:sz w:val="24"/>
        </w:rPr>
        <w:t>servicios.</w:t>
      </w:r>
      <w:r>
        <w:rPr>
          <w:spacing w:val="-8"/>
          <w:sz w:val="24"/>
        </w:rPr>
        <w:t> </w:t>
      </w:r>
      <w:r>
        <w:rPr>
          <w:sz w:val="24"/>
        </w:rPr>
        <w:t>La</w:t>
      </w:r>
      <w:r>
        <w:rPr>
          <w:spacing w:val="-10"/>
          <w:sz w:val="24"/>
        </w:rPr>
        <w:t> </w:t>
      </w:r>
      <w:r>
        <w:rPr>
          <w:sz w:val="24"/>
        </w:rPr>
        <w:t>legislación</w:t>
      </w:r>
      <w:r>
        <w:rPr>
          <w:spacing w:val="-9"/>
          <w:sz w:val="24"/>
        </w:rPr>
        <w:t> </w:t>
      </w:r>
      <w:r>
        <w:rPr>
          <w:sz w:val="24"/>
        </w:rPr>
        <w:t>establece</w:t>
      </w:r>
      <w:r>
        <w:rPr>
          <w:spacing w:val="-8"/>
          <w:sz w:val="24"/>
        </w:rPr>
        <w:t> </w:t>
      </w:r>
      <w:r>
        <w:rPr>
          <w:sz w:val="24"/>
        </w:rPr>
        <w:t>que la</w:t>
      </w:r>
      <w:r>
        <w:rPr>
          <w:spacing w:val="-13"/>
          <w:sz w:val="24"/>
        </w:rPr>
        <w:t> </w:t>
      </w:r>
      <w:r>
        <w:rPr>
          <w:sz w:val="24"/>
        </w:rPr>
        <w:t>base</w:t>
      </w:r>
      <w:r>
        <w:rPr>
          <w:spacing w:val="-12"/>
          <w:sz w:val="24"/>
        </w:rPr>
        <w:t> </w:t>
      </w:r>
      <w:r>
        <w:rPr>
          <w:sz w:val="24"/>
        </w:rPr>
        <w:t>gravable</w:t>
      </w:r>
      <w:r>
        <w:rPr>
          <w:spacing w:val="-13"/>
          <w:sz w:val="24"/>
        </w:rPr>
        <w:t> </w:t>
      </w:r>
      <w:r>
        <w:rPr>
          <w:sz w:val="24"/>
        </w:rPr>
        <w:t>debe</w:t>
      </w:r>
      <w:r>
        <w:rPr>
          <w:spacing w:val="-10"/>
          <w:sz w:val="24"/>
        </w:rPr>
        <w:t> </w:t>
      </w:r>
      <w:r>
        <w:rPr>
          <w:sz w:val="24"/>
        </w:rPr>
        <w:t>reflejar</w:t>
      </w:r>
      <w:r>
        <w:rPr>
          <w:spacing w:val="-10"/>
          <w:sz w:val="24"/>
        </w:rPr>
        <w:t> </w:t>
      </w:r>
      <w:r>
        <w:rPr>
          <w:sz w:val="24"/>
        </w:rPr>
        <w:t>el</w:t>
      </w:r>
      <w:r>
        <w:rPr>
          <w:spacing w:val="-13"/>
          <w:sz w:val="24"/>
        </w:rPr>
        <w:t> </w:t>
      </w:r>
      <w:r>
        <w:rPr>
          <w:sz w:val="24"/>
        </w:rPr>
        <w:t>precio</w:t>
      </w:r>
      <w:r>
        <w:rPr>
          <w:spacing w:val="-11"/>
          <w:sz w:val="24"/>
        </w:rPr>
        <w:t> </w:t>
      </w:r>
      <w:r>
        <w:rPr>
          <w:sz w:val="24"/>
        </w:rPr>
        <w:t>de</w:t>
      </w:r>
      <w:r>
        <w:rPr>
          <w:spacing w:val="-10"/>
          <w:sz w:val="24"/>
        </w:rPr>
        <w:t> </w:t>
      </w:r>
      <w:r>
        <w:rPr>
          <w:sz w:val="24"/>
        </w:rPr>
        <w:t>venta</w:t>
      </w:r>
      <w:r>
        <w:rPr>
          <w:spacing w:val="-12"/>
          <w:sz w:val="24"/>
        </w:rPr>
        <w:t> </w:t>
      </w:r>
      <w:r>
        <w:rPr>
          <w:sz w:val="24"/>
        </w:rPr>
        <w:t>real</w:t>
      </w:r>
      <w:r>
        <w:rPr>
          <w:spacing w:val="-12"/>
          <w:sz w:val="24"/>
        </w:rPr>
        <w:t> </w:t>
      </w:r>
      <w:r>
        <w:rPr>
          <w:sz w:val="24"/>
        </w:rPr>
        <w:t>sin</w:t>
      </w:r>
      <w:r>
        <w:rPr>
          <w:spacing w:val="-12"/>
          <w:sz w:val="24"/>
        </w:rPr>
        <w:t> </w:t>
      </w:r>
      <w:r>
        <w:rPr>
          <w:sz w:val="24"/>
        </w:rPr>
        <w:t>considerar el IGV, que se añade al final.</w:t>
      </w:r>
    </w:p>
    <w:p>
      <w:pPr>
        <w:pStyle w:val="ListParagraph"/>
        <w:spacing w:after="0" w:line="480" w:lineRule="auto"/>
        <w:jc w:val="both"/>
        <w:rPr>
          <w:sz w:val="24"/>
        </w:rPr>
        <w:sectPr>
          <w:pgSz w:w="11910" w:h="16840"/>
          <w:pgMar w:header="0" w:footer="693" w:top="1340" w:bottom="880" w:left="1559" w:right="425"/>
        </w:sectPr>
      </w:pPr>
    </w:p>
    <w:p>
      <w:pPr>
        <w:pStyle w:val="ListParagraph"/>
        <w:numPr>
          <w:ilvl w:val="4"/>
          <w:numId w:val="11"/>
        </w:numPr>
        <w:tabs>
          <w:tab w:pos="2627" w:val="left" w:leader="none"/>
        </w:tabs>
        <w:spacing w:line="480" w:lineRule="auto" w:before="66" w:after="0"/>
        <w:ind w:left="2627" w:right="987" w:hanging="360"/>
        <w:jc w:val="both"/>
        <w:rPr>
          <w:sz w:val="24"/>
        </w:rPr>
      </w:pPr>
      <w:r>
        <w:rPr>
          <w:b/>
          <w:sz w:val="24"/>
        </w:rPr>
        <w:t>Determinación</w:t>
      </w:r>
      <w:r>
        <w:rPr>
          <w:b/>
          <w:spacing w:val="-6"/>
          <w:sz w:val="24"/>
        </w:rPr>
        <w:t> </w:t>
      </w:r>
      <w:r>
        <w:rPr>
          <w:b/>
          <w:sz w:val="24"/>
        </w:rPr>
        <w:t>de</w:t>
      </w:r>
      <w:r>
        <w:rPr>
          <w:b/>
          <w:spacing w:val="-6"/>
          <w:sz w:val="24"/>
        </w:rPr>
        <w:t> </w:t>
      </w:r>
      <w:r>
        <w:rPr>
          <w:b/>
          <w:sz w:val="24"/>
        </w:rPr>
        <w:t>la</w:t>
      </w:r>
      <w:r>
        <w:rPr>
          <w:b/>
          <w:spacing w:val="-6"/>
          <w:sz w:val="24"/>
        </w:rPr>
        <w:t> </w:t>
      </w:r>
      <w:r>
        <w:rPr>
          <w:b/>
          <w:sz w:val="24"/>
        </w:rPr>
        <w:t>base</w:t>
      </w:r>
      <w:r>
        <w:rPr>
          <w:b/>
          <w:spacing w:val="-7"/>
          <w:sz w:val="24"/>
        </w:rPr>
        <w:t> </w:t>
      </w:r>
      <w:r>
        <w:rPr>
          <w:b/>
          <w:sz w:val="24"/>
        </w:rPr>
        <w:t>imponible:</w:t>
      </w:r>
      <w:r>
        <w:rPr>
          <w:b/>
          <w:spacing w:val="-5"/>
          <w:sz w:val="24"/>
        </w:rPr>
        <w:t> </w:t>
      </w:r>
      <w:r>
        <w:rPr>
          <w:sz w:val="24"/>
        </w:rPr>
        <w:t>Esta</w:t>
      </w:r>
      <w:r>
        <w:rPr>
          <w:spacing w:val="-7"/>
          <w:sz w:val="24"/>
        </w:rPr>
        <w:t> </w:t>
      </w:r>
      <w:r>
        <w:rPr>
          <w:sz w:val="24"/>
        </w:rPr>
        <w:t>se</w:t>
      </w:r>
      <w:r>
        <w:rPr>
          <w:spacing w:val="-6"/>
          <w:sz w:val="24"/>
        </w:rPr>
        <w:t> </w:t>
      </w:r>
      <w:r>
        <w:rPr>
          <w:sz w:val="24"/>
        </w:rPr>
        <w:t>determina</w:t>
      </w:r>
      <w:r>
        <w:rPr>
          <w:spacing w:val="-7"/>
          <w:sz w:val="24"/>
        </w:rPr>
        <w:t> </w:t>
      </w:r>
      <w:r>
        <w:rPr>
          <w:sz w:val="24"/>
        </w:rPr>
        <w:t>como</w:t>
      </w:r>
      <w:r>
        <w:rPr>
          <w:spacing w:val="-6"/>
          <w:sz w:val="24"/>
        </w:rPr>
        <w:t> </w:t>
      </w:r>
      <w:r>
        <w:rPr>
          <w:sz w:val="24"/>
        </w:rPr>
        <w:t>el total de las ventas realizadas por el contribuyente durante un período específico. Para las importaciones, la base imponible incluye el costo de la mercancía, además de los aranceles y otros impuestos aplicables. La base imponible puede ajustarse por devoluciones o descuentos que afecten el monto total de las </w:t>
      </w:r>
      <w:r>
        <w:rPr>
          <w:spacing w:val="-2"/>
          <w:sz w:val="24"/>
        </w:rPr>
        <w:t>ventas.</w:t>
      </w:r>
    </w:p>
    <w:p>
      <w:pPr>
        <w:pStyle w:val="ListParagraph"/>
        <w:numPr>
          <w:ilvl w:val="4"/>
          <w:numId w:val="11"/>
        </w:numPr>
        <w:tabs>
          <w:tab w:pos="2627" w:val="left" w:leader="none"/>
        </w:tabs>
        <w:spacing w:line="480" w:lineRule="auto" w:before="1" w:after="0"/>
        <w:ind w:left="2627" w:right="989" w:hanging="360"/>
        <w:jc w:val="both"/>
        <w:rPr>
          <w:sz w:val="24"/>
        </w:rPr>
      </w:pPr>
      <w:r>
        <w:rPr>
          <w:b/>
          <w:sz w:val="24"/>
        </w:rPr>
        <w:t>Excepciones y exenciones: </w:t>
      </w:r>
      <w:r>
        <w:rPr>
          <w:sz w:val="24"/>
        </w:rPr>
        <w:t>Algunos bienes y servicios están exentos de IGV o tienen tratamientos especiales que afectan su base imponible. Por ejemplo, ciertos productos de primera necesidad pueden estar exentos o tener una tasa reducida. Es importante que los contribuyentes conozcan estas excepciones para determinar correctamente su base imponible y cumplir con sus obligaciones fiscales.</w:t>
      </w:r>
    </w:p>
    <w:p>
      <w:pPr>
        <w:pStyle w:val="Heading3"/>
        <w:numPr>
          <w:ilvl w:val="3"/>
          <w:numId w:val="11"/>
        </w:numPr>
        <w:tabs>
          <w:tab w:pos="1419" w:val="left" w:leader="none"/>
        </w:tabs>
        <w:spacing w:line="240" w:lineRule="auto" w:before="1" w:after="0"/>
        <w:ind w:left="1419" w:right="0" w:hanging="284"/>
        <w:jc w:val="left"/>
      </w:pPr>
      <w:r>
        <w:rPr/>
        <w:t>Tasa del</w:t>
      </w:r>
      <w:r>
        <w:rPr>
          <w:spacing w:val="-2"/>
        </w:rPr>
        <w:t> </w:t>
      </w:r>
      <w:r>
        <w:rPr>
          <w:spacing w:val="-5"/>
        </w:rPr>
        <w:t>IGV</w:t>
      </w:r>
    </w:p>
    <w:p>
      <w:pPr>
        <w:pStyle w:val="BodyText"/>
        <w:rPr>
          <w:b/>
        </w:rPr>
      </w:pPr>
    </w:p>
    <w:p>
      <w:pPr>
        <w:pStyle w:val="BodyText"/>
        <w:spacing w:line="480" w:lineRule="auto"/>
        <w:ind w:left="1419" w:right="994" w:firstLine="861"/>
        <w:jc w:val="both"/>
      </w:pPr>
      <w:r>
        <w:rPr/>
        <w:t>La tasa del IGV es el porcentaje aplicado acerca de la base gravable para</w:t>
      </w:r>
      <w:r>
        <w:rPr>
          <w:spacing w:val="-3"/>
        </w:rPr>
        <w:t> </w:t>
      </w:r>
      <w:r>
        <w:rPr/>
        <w:t>determinar</w:t>
      </w:r>
      <w:r>
        <w:rPr>
          <w:spacing w:val="-2"/>
        </w:rPr>
        <w:t> </w:t>
      </w:r>
      <w:r>
        <w:rPr/>
        <w:t>el</w:t>
      </w:r>
      <w:r>
        <w:rPr>
          <w:spacing w:val="-1"/>
        </w:rPr>
        <w:t> </w:t>
      </w:r>
      <w:r>
        <w:rPr/>
        <w:t>impuesto</w:t>
      </w:r>
      <w:r>
        <w:rPr>
          <w:spacing w:val="-2"/>
        </w:rPr>
        <w:t> </w:t>
      </w:r>
      <w:r>
        <w:rPr/>
        <w:t>a</w:t>
      </w:r>
      <w:r>
        <w:rPr>
          <w:spacing w:val="-2"/>
        </w:rPr>
        <w:t> </w:t>
      </w:r>
      <w:r>
        <w:rPr/>
        <w:t>abonar.</w:t>
      </w:r>
      <w:r>
        <w:rPr>
          <w:spacing w:val="-2"/>
        </w:rPr>
        <w:t> </w:t>
      </w:r>
      <w:r>
        <w:rPr/>
        <w:t>Esta</w:t>
      </w:r>
      <w:r>
        <w:rPr>
          <w:spacing w:val="-2"/>
        </w:rPr>
        <w:t> </w:t>
      </w:r>
      <w:r>
        <w:rPr/>
        <w:t>tasa</w:t>
      </w:r>
      <w:r>
        <w:rPr>
          <w:spacing w:val="-2"/>
        </w:rPr>
        <w:t> </w:t>
      </w:r>
      <w:r>
        <w:rPr/>
        <w:t>ha</w:t>
      </w:r>
      <w:r>
        <w:rPr>
          <w:spacing w:val="-2"/>
        </w:rPr>
        <w:t> </w:t>
      </w:r>
      <w:r>
        <w:rPr/>
        <w:t>evolucionado</w:t>
      </w:r>
      <w:r>
        <w:rPr>
          <w:spacing w:val="-2"/>
        </w:rPr>
        <w:t> </w:t>
      </w:r>
      <w:r>
        <w:rPr/>
        <w:t>a</w:t>
      </w:r>
      <w:r>
        <w:rPr>
          <w:spacing w:val="-2"/>
        </w:rPr>
        <w:t> </w:t>
      </w:r>
      <w:r>
        <w:rPr/>
        <w:t>lo</w:t>
      </w:r>
      <w:r>
        <w:rPr>
          <w:spacing w:val="-3"/>
        </w:rPr>
        <w:t> </w:t>
      </w:r>
      <w:r>
        <w:rPr/>
        <w:t>largo</w:t>
      </w:r>
      <w:r>
        <w:rPr>
          <w:spacing w:val="-2"/>
        </w:rPr>
        <w:t> </w:t>
      </w:r>
      <w:r>
        <w:rPr/>
        <w:t>del tiempo y se detalla a continuación:</w:t>
      </w:r>
    </w:p>
    <w:p>
      <w:pPr>
        <w:pStyle w:val="ListParagraph"/>
        <w:numPr>
          <w:ilvl w:val="4"/>
          <w:numId w:val="11"/>
        </w:numPr>
        <w:tabs>
          <w:tab w:pos="2627" w:val="left" w:leader="none"/>
        </w:tabs>
        <w:spacing w:line="480" w:lineRule="auto" w:before="0" w:after="0"/>
        <w:ind w:left="2627" w:right="991" w:hanging="360"/>
        <w:jc w:val="both"/>
        <w:rPr>
          <w:sz w:val="24"/>
        </w:rPr>
      </w:pPr>
      <w:r>
        <w:rPr>
          <w:b/>
          <w:sz w:val="24"/>
        </w:rPr>
        <w:t>Tasa</w:t>
      </w:r>
      <w:r>
        <w:rPr>
          <w:b/>
          <w:spacing w:val="-7"/>
          <w:sz w:val="24"/>
        </w:rPr>
        <w:t> </w:t>
      </w:r>
      <w:r>
        <w:rPr>
          <w:b/>
          <w:sz w:val="24"/>
        </w:rPr>
        <w:t>vigente:</w:t>
      </w:r>
      <w:r>
        <w:rPr>
          <w:b/>
          <w:spacing w:val="-8"/>
          <w:sz w:val="24"/>
        </w:rPr>
        <w:t> </w:t>
      </w:r>
      <w:r>
        <w:rPr>
          <w:sz w:val="24"/>
        </w:rPr>
        <w:t>En</w:t>
      </w:r>
      <w:r>
        <w:rPr>
          <w:spacing w:val="-8"/>
          <w:sz w:val="24"/>
        </w:rPr>
        <w:t> </w:t>
      </w:r>
      <w:r>
        <w:rPr>
          <w:sz w:val="24"/>
        </w:rPr>
        <w:t>la</w:t>
      </w:r>
      <w:r>
        <w:rPr>
          <w:spacing w:val="-7"/>
          <w:sz w:val="24"/>
        </w:rPr>
        <w:t> </w:t>
      </w:r>
      <w:r>
        <w:rPr>
          <w:sz w:val="24"/>
        </w:rPr>
        <w:t>actualidad,</w:t>
      </w:r>
      <w:r>
        <w:rPr>
          <w:spacing w:val="-8"/>
          <w:sz w:val="24"/>
        </w:rPr>
        <w:t> </w:t>
      </w:r>
      <w:r>
        <w:rPr>
          <w:sz w:val="24"/>
        </w:rPr>
        <w:t>la</w:t>
      </w:r>
      <w:r>
        <w:rPr>
          <w:spacing w:val="-8"/>
          <w:sz w:val="24"/>
        </w:rPr>
        <w:t> </w:t>
      </w:r>
      <w:r>
        <w:rPr>
          <w:sz w:val="24"/>
        </w:rPr>
        <w:t>tasa</w:t>
      </w:r>
      <w:r>
        <w:rPr>
          <w:spacing w:val="-7"/>
          <w:sz w:val="24"/>
        </w:rPr>
        <w:t> </w:t>
      </w:r>
      <w:r>
        <w:rPr>
          <w:sz w:val="24"/>
        </w:rPr>
        <w:t>general</w:t>
      </w:r>
      <w:r>
        <w:rPr>
          <w:spacing w:val="-8"/>
          <w:sz w:val="24"/>
        </w:rPr>
        <w:t> </w:t>
      </w:r>
      <w:r>
        <w:rPr>
          <w:sz w:val="24"/>
        </w:rPr>
        <w:t>del</w:t>
      </w:r>
      <w:r>
        <w:rPr>
          <w:spacing w:val="-9"/>
          <w:sz w:val="24"/>
        </w:rPr>
        <w:t> </w:t>
      </w:r>
      <w:r>
        <w:rPr>
          <w:sz w:val="24"/>
        </w:rPr>
        <w:t>IGV</w:t>
      </w:r>
      <w:r>
        <w:rPr>
          <w:spacing w:val="-7"/>
          <w:sz w:val="24"/>
        </w:rPr>
        <w:t> </w:t>
      </w:r>
      <w:r>
        <w:rPr>
          <w:sz w:val="24"/>
        </w:rPr>
        <w:t>en</w:t>
      </w:r>
      <w:r>
        <w:rPr>
          <w:spacing w:val="-8"/>
          <w:sz w:val="24"/>
        </w:rPr>
        <w:t> </w:t>
      </w:r>
      <w:r>
        <w:rPr>
          <w:sz w:val="24"/>
        </w:rPr>
        <w:t>Perú</w:t>
      </w:r>
      <w:r>
        <w:rPr>
          <w:spacing w:val="-8"/>
          <w:sz w:val="24"/>
        </w:rPr>
        <w:t> </w:t>
      </w:r>
      <w:r>
        <w:rPr>
          <w:sz w:val="24"/>
        </w:rPr>
        <w:t>es del 18%. Este tipo se aplica a la mayor parte de las operaciones comerciales., incluidos la comercialización de productos, la provisión de servicios y las adquisiciones externas. Sin embargo, existen tasas diferenciadas para productos específicos.</w:t>
      </w:r>
    </w:p>
    <w:p>
      <w:pPr>
        <w:pStyle w:val="ListParagraph"/>
        <w:numPr>
          <w:ilvl w:val="4"/>
          <w:numId w:val="11"/>
        </w:numPr>
        <w:tabs>
          <w:tab w:pos="2627" w:val="left" w:leader="none"/>
        </w:tabs>
        <w:spacing w:line="480" w:lineRule="auto" w:before="0" w:after="0"/>
        <w:ind w:left="2627" w:right="991" w:hanging="360"/>
        <w:jc w:val="both"/>
        <w:rPr>
          <w:sz w:val="24"/>
        </w:rPr>
      </w:pPr>
      <w:r>
        <w:rPr>
          <w:b/>
          <w:sz w:val="24"/>
        </w:rPr>
        <w:t>Evolución histórica: </w:t>
      </w:r>
      <w:r>
        <w:rPr>
          <w:sz w:val="24"/>
        </w:rPr>
        <w:t>La tasa del IGV ha cambiado desde su implementación en 1991, cuando se estableció en un 10%. A</w:t>
      </w:r>
      <w:r>
        <w:rPr>
          <w:spacing w:val="18"/>
          <w:sz w:val="24"/>
        </w:rPr>
        <w:t> </w:t>
      </w:r>
      <w:r>
        <w:rPr>
          <w:sz w:val="24"/>
        </w:rPr>
        <w:t>lo</w:t>
      </w:r>
    </w:p>
    <w:p>
      <w:pPr>
        <w:pStyle w:val="ListParagraph"/>
        <w:spacing w:after="0" w:line="480" w:lineRule="auto"/>
        <w:jc w:val="both"/>
        <w:rPr>
          <w:sz w:val="24"/>
        </w:rPr>
        <w:sectPr>
          <w:pgSz w:w="11910" w:h="16840"/>
          <w:pgMar w:header="0" w:footer="693" w:top="1340" w:bottom="880" w:left="1559" w:right="425"/>
        </w:sectPr>
      </w:pPr>
    </w:p>
    <w:p>
      <w:pPr>
        <w:pStyle w:val="BodyText"/>
        <w:spacing w:line="480" w:lineRule="auto" w:before="66"/>
        <w:ind w:left="2627" w:right="989"/>
        <w:jc w:val="both"/>
      </w:pPr>
      <w:r>
        <w:rPr/>
        <w:t>largo de los años, el gobierno ha ajustado esta tasa en respuesta a las</w:t>
      </w:r>
      <w:r>
        <w:rPr>
          <w:spacing w:val="-15"/>
        </w:rPr>
        <w:t> </w:t>
      </w:r>
      <w:r>
        <w:rPr/>
        <w:t>condiciones</w:t>
      </w:r>
      <w:r>
        <w:rPr>
          <w:spacing w:val="-14"/>
        </w:rPr>
        <w:t> </w:t>
      </w:r>
      <w:r>
        <w:rPr/>
        <w:t>económicas</w:t>
      </w:r>
      <w:r>
        <w:rPr>
          <w:spacing w:val="-14"/>
        </w:rPr>
        <w:t> </w:t>
      </w:r>
      <w:r>
        <w:rPr/>
        <w:t>y</w:t>
      </w:r>
      <w:r>
        <w:rPr>
          <w:spacing w:val="-15"/>
        </w:rPr>
        <w:t> </w:t>
      </w:r>
      <w:r>
        <w:rPr/>
        <w:t>la</w:t>
      </w:r>
      <w:r>
        <w:rPr>
          <w:spacing w:val="-15"/>
        </w:rPr>
        <w:t> </w:t>
      </w:r>
      <w:r>
        <w:rPr/>
        <w:t>necesidad</w:t>
      </w:r>
      <w:r>
        <w:rPr>
          <w:spacing w:val="-15"/>
        </w:rPr>
        <w:t> </w:t>
      </w:r>
      <w:r>
        <w:rPr/>
        <w:t>de</w:t>
      </w:r>
      <w:r>
        <w:rPr>
          <w:spacing w:val="-15"/>
        </w:rPr>
        <w:t> </w:t>
      </w:r>
      <w:r>
        <w:rPr/>
        <w:t>ingresos</w:t>
      </w:r>
      <w:r>
        <w:rPr>
          <w:spacing w:val="-14"/>
        </w:rPr>
        <w:t> </w:t>
      </w:r>
      <w:r>
        <w:rPr/>
        <w:t>fiscales.</w:t>
      </w:r>
      <w:r>
        <w:rPr>
          <w:spacing w:val="-14"/>
        </w:rPr>
        <w:t> </w:t>
      </w:r>
      <w:r>
        <w:rPr/>
        <w:t>En 2004,</w:t>
      </w:r>
      <w:r>
        <w:rPr>
          <w:spacing w:val="-15"/>
        </w:rPr>
        <w:t> </w:t>
      </w:r>
      <w:r>
        <w:rPr/>
        <w:t>se</w:t>
      </w:r>
      <w:r>
        <w:rPr>
          <w:spacing w:val="-15"/>
        </w:rPr>
        <w:t> </w:t>
      </w:r>
      <w:r>
        <w:rPr/>
        <w:t>incrementó</w:t>
      </w:r>
      <w:r>
        <w:rPr>
          <w:spacing w:val="-15"/>
        </w:rPr>
        <w:t> </w:t>
      </w:r>
      <w:r>
        <w:rPr/>
        <w:t>al</w:t>
      </w:r>
      <w:r>
        <w:rPr>
          <w:spacing w:val="-15"/>
        </w:rPr>
        <w:t> </w:t>
      </w:r>
      <w:r>
        <w:rPr/>
        <w:t>18%,</w:t>
      </w:r>
      <w:r>
        <w:rPr>
          <w:spacing w:val="-15"/>
        </w:rPr>
        <w:t> </w:t>
      </w:r>
      <w:r>
        <w:rPr/>
        <w:t>que</w:t>
      </w:r>
      <w:r>
        <w:rPr>
          <w:spacing w:val="-15"/>
        </w:rPr>
        <w:t> </w:t>
      </w:r>
      <w:r>
        <w:rPr/>
        <w:t>es</w:t>
      </w:r>
      <w:r>
        <w:rPr>
          <w:spacing w:val="-15"/>
        </w:rPr>
        <w:t> </w:t>
      </w:r>
      <w:r>
        <w:rPr/>
        <w:t>la</w:t>
      </w:r>
      <w:r>
        <w:rPr>
          <w:spacing w:val="-15"/>
        </w:rPr>
        <w:t> </w:t>
      </w:r>
      <w:r>
        <w:rPr/>
        <w:t>tasa</w:t>
      </w:r>
      <w:r>
        <w:rPr>
          <w:spacing w:val="-15"/>
        </w:rPr>
        <w:t> </w:t>
      </w:r>
      <w:r>
        <w:rPr/>
        <w:t>vigente</w:t>
      </w:r>
      <w:r>
        <w:rPr>
          <w:spacing w:val="-15"/>
        </w:rPr>
        <w:t> </w:t>
      </w:r>
      <w:r>
        <w:rPr/>
        <w:t>en</w:t>
      </w:r>
      <w:r>
        <w:rPr>
          <w:spacing w:val="-15"/>
        </w:rPr>
        <w:t> </w:t>
      </w:r>
      <w:r>
        <w:rPr/>
        <w:t>la</w:t>
      </w:r>
      <w:r>
        <w:rPr>
          <w:spacing w:val="-15"/>
        </w:rPr>
        <w:t> </w:t>
      </w:r>
      <w:r>
        <w:rPr/>
        <w:t>actualidad. Esta</w:t>
      </w:r>
      <w:r>
        <w:rPr>
          <w:spacing w:val="-10"/>
        </w:rPr>
        <w:t> </w:t>
      </w:r>
      <w:r>
        <w:rPr/>
        <w:t>evolución</w:t>
      </w:r>
      <w:r>
        <w:rPr>
          <w:spacing w:val="-9"/>
        </w:rPr>
        <w:t> </w:t>
      </w:r>
      <w:r>
        <w:rPr/>
        <w:t>refleja</w:t>
      </w:r>
      <w:r>
        <w:rPr>
          <w:spacing w:val="-10"/>
        </w:rPr>
        <w:t> </w:t>
      </w:r>
      <w:r>
        <w:rPr/>
        <w:t>las</w:t>
      </w:r>
      <w:r>
        <w:rPr>
          <w:spacing w:val="-9"/>
        </w:rPr>
        <w:t> </w:t>
      </w:r>
      <w:r>
        <w:rPr/>
        <w:t>políticas</w:t>
      </w:r>
      <w:r>
        <w:rPr>
          <w:spacing w:val="-9"/>
        </w:rPr>
        <w:t> </w:t>
      </w:r>
      <w:r>
        <w:rPr/>
        <w:t>fiscales</w:t>
      </w:r>
      <w:r>
        <w:rPr>
          <w:spacing w:val="-9"/>
        </w:rPr>
        <w:t> </w:t>
      </w:r>
      <w:r>
        <w:rPr/>
        <w:t>del</w:t>
      </w:r>
      <w:r>
        <w:rPr>
          <w:spacing w:val="-11"/>
        </w:rPr>
        <w:t> </w:t>
      </w:r>
      <w:r>
        <w:rPr/>
        <w:t>país</w:t>
      </w:r>
      <w:r>
        <w:rPr>
          <w:spacing w:val="-9"/>
        </w:rPr>
        <w:t> </w:t>
      </w:r>
      <w:r>
        <w:rPr/>
        <w:t>y</w:t>
      </w:r>
      <w:r>
        <w:rPr>
          <w:spacing w:val="-8"/>
        </w:rPr>
        <w:t> </w:t>
      </w:r>
      <w:r>
        <w:rPr/>
        <w:t>los</w:t>
      </w:r>
      <w:r>
        <w:rPr>
          <w:spacing w:val="-9"/>
        </w:rPr>
        <w:t> </w:t>
      </w:r>
      <w:r>
        <w:rPr/>
        <w:t>esfuerzos por adaptar el sistema tributario a las realidades económicas.</w:t>
      </w:r>
    </w:p>
    <w:p>
      <w:pPr>
        <w:pStyle w:val="ListParagraph"/>
        <w:numPr>
          <w:ilvl w:val="4"/>
          <w:numId w:val="11"/>
        </w:numPr>
        <w:tabs>
          <w:tab w:pos="2627" w:val="left" w:leader="none"/>
        </w:tabs>
        <w:spacing w:line="480" w:lineRule="auto" w:before="1" w:after="0"/>
        <w:ind w:left="2627" w:right="989" w:hanging="360"/>
        <w:jc w:val="both"/>
        <w:rPr>
          <w:sz w:val="24"/>
        </w:rPr>
      </w:pPr>
      <w:r>
        <w:rPr>
          <w:b/>
          <w:sz w:val="24"/>
        </w:rPr>
        <w:t>Impacto de la tasa: </w:t>
      </w:r>
      <w:r>
        <w:rPr>
          <w:sz w:val="24"/>
        </w:rPr>
        <w:t>La tasa del IGV puede influir en el comportamiento de consumo de los ciudadanos y en las resoluciones de capital de las organizaciones empresariales. Un incremento en la tasa podría reducir la solicitud de productos y servicios,</w:t>
      </w:r>
      <w:r>
        <w:rPr>
          <w:spacing w:val="-15"/>
          <w:sz w:val="24"/>
        </w:rPr>
        <w:t> </w:t>
      </w:r>
      <w:r>
        <w:rPr>
          <w:sz w:val="24"/>
        </w:rPr>
        <w:t>en</w:t>
      </w:r>
      <w:r>
        <w:rPr>
          <w:spacing w:val="-15"/>
          <w:sz w:val="24"/>
        </w:rPr>
        <w:t> </w:t>
      </w:r>
      <w:r>
        <w:rPr>
          <w:sz w:val="24"/>
        </w:rPr>
        <w:t>tanto</w:t>
      </w:r>
      <w:r>
        <w:rPr>
          <w:spacing w:val="-15"/>
          <w:sz w:val="24"/>
        </w:rPr>
        <w:t> </w:t>
      </w:r>
      <w:r>
        <w:rPr>
          <w:sz w:val="24"/>
        </w:rPr>
        <w:t>que</w:t>
      </w:r>
      <w:r>
        <w:rPr>
          <w:spacing w:val="-15"/>
          <w:sz w:val="24"/>
        </w:rPr>
        <w:t> </w:t>
      </w:r>
      <w:r>
        <w:rPr>
          <w:sz w:val="24"/>
        </w:rPr>
        <w:t>una</w:t>
      </w:r>
      <w:r>
        <w:rPr>
          <w:spacing w:val="-15"/>
          <w:sz w:val="24"/>
        </w:rPr>
        <w:t> </w:t>
      </w:r>
      <w:r>
        <w:rPr>
          <w:sz w:val="24"/>
        </w:rPr>
        <w:t>reducción</w:t>
      </w:r>
      <w:r>
        <w:rPr>
          <w:spacing w:val="-15"/>
          <w:sz w:val="24"/>
        </w:rPr>
        <w:t> </w:t>
      </w:r>
      <w:r>
        <w:rPr>
          <w:sz w:val="24"/>
        </w:rPr>
        <w:t>podría</w:t>
      </w:r>
      <w:r>
        <w:rPr>
          <w:spacing w:val="-15"/>
          <w:sz w:val="24"/>
        </w:rPr>
        <w:t> </w:t>
      </w:r>
      <w:r>
        <w:rPr>
          <w:sz w:val="24"/>
        </w:rPr>
        <w:t>incentivar</w:t>
      </w:r>
      <w:r>
        <w:rPr>
          <w:spacing w:val="-15"/>
          <w:sz w:val="24"/>
        </w:rPr>
        <w:t> </w:t>
      </w:r>
      <w:r>
        <w:rPr>
          <w:sz w:val="24"/>
        </w:rPr>
        <w:t>el</w:t>
      </w:r>
      <w:r>
        <w:rPr>
          <w:spacing w:val="-15"/>
          <w:sz w:val="24"/>
        </w:rPr>
        <w:t> </w:t>
      </w:r>
      <w:r>
        <w:rPr>
          <w:sz w:val="24"/>
        </w:rPr>
        <w:t>consumo y la inversión.</w:t>
      </w:r>
    </w:p>
    <w:p>
      <w:pPr>
        <w:pStyle w:val="Heading3"/>
        <w:numPr>
          <w:ilvl w:val="3"/>
          <w:numId w:val="11"/>
        </w:numPr>
        <w:tabs>
          <w:tab w:pos="1419" w:val="left" w:leader="none"/>
        </w:tabs>
        <w:spacing w:line="240" w:lineRule="auto" w:before="1" w:after="0"/>
        <w:ind w:left="1419" w:right="0" w:hanging="284"/>
        <w:jc w:val="both"/>
      </w:pPr>
      <w:r>
        <w:rPr/>
        <w:t>Mecanismo</w:t>
      </w:r>
      <w:r>
        <w:rPr>
          <w:spacing w:val="-2"/>
        </w:rPr>
        <w:t> </w:t>
      </w:r>
      <w:r>
        <w:rPr/>
        <w:t>de</w:t>
      </w:r>
      <w:r>
        <w:rPr>
          <w:spacing w:val="-1"/>
        </w:rPr>
        <w:t> </w:t>
      </w:r>
      <w:r>
        <w:rPr>
          <w:spacing w:val="-2"/>
        </w:rPr>
        <w:t>Recaudación</w:t>
      </w:r>
    </w:p>
    <w:p>
      <w:pPr>
        <w:pStyle w:val="BodyText"/>
        <w:spacing w:line="480" w:lineRule="auto" w:before="276"/>
        <w:ind w:left="1419" w:right="994" w:firstLine="720"/>
        <w:jc w:val="both"/>
      </w:pPr>
      <w:r>
        <w:rPr/>
        <w:t>El mecanismo de recaudación del IGV implica una serie de procedimientos que aseguran la correcta recaudación y administración del impuesto. Este proceso se describe a continuación:</w:t>
      </w:r>
    </w:p>
    <w:p>
      <w:pPr>
        <w:pStyle w:val="ListParagraph"/>
        <w:numPr>
          <w:ilvl w:val="4"/>
          <w:numId w:val="11"/>
        </w:numPr>
        <w:tabs>
          <w:tab w:pos="2627" w:val="left" w:leader="none"/>
        </w:tabs>
        <w:spacing w:line="480" w:lineRule="auto" w:before="0" w:after="0"/>
        <w:ind w:left="2627" w:right="990" w:hanging="360"/>
        <w:jc w:val="both"/>
        <w:rPr>
          <w:sz w:val="24"/>
        </w:rPr>
      </w:pPr>
      <w:r>
        <w:rPr>
          <w:b/>
          <w:sz w:val="24"/>
        </w:rPr>
        <w:t>Responsabilidad del vendedor: </w:t>
      </w:r>
      <w:r>
        <w:rPr>
          <w:sz w:val="24"/>
        </w:rPr>
        <w:t>En el sistema del IGV, los vendedores</w:t>
      </w:r>
      <w:r>
        <w:rPr>
          <w:spacing w:val="-6"/>
          <w:sz w:val="24"/>
        </w:rPr>
        <w:t> </w:t>
      </w:r>
      <w:r>
        <w:rPr>
          <w:sz w:val="24"/>
        </w:rPr>
        <w:t>son</w:t>
      </w:r>
      <w:r>
        <w:rPr>
          <w:spacing w:val="-6"/>
          <w:sz w:val="24"/>
        </w:rPr>
        <w:t> </w:t>
      </w:r>
      <w:r>
        <w:rPr>
          <w:sz w:val="24"/>
        </w:rPr>
        <w:t>responsables</w:t>
      </w:r>
      <w:r>
        <w:rPr>
          <w:spacing w:val="-6"/>
          <w:sz w:val="24"/>
        </w:rPr>
        <w:t> </w:t>
      </w:r>
      <w:r>
        <w:rPr>
          <w:sz w:val="24"/>
        </w:rPr>
        <w:t>de</w:t>
      </w:r>
      <w:r>
        <w:rPr>
          <w:spacing w:val="-7"/>
          <w:sz w:val="24"/>
        </w:rPr>
        <w:t> </w:t>
      </w:r>
      <w:r>
        <w:rPr>
          <w:sz w:val="24"/>
        </w:rPr>
        <w:t>recaudar</w:t>
      </w:r>
      <w:r>
        <w:rPr>
          <w:spacing w:val="-5"/>
          <w:sz w:val="24"/>
        </w:rPr>
        <w:t> </w:t>
      </w:r>
      <w:r>
        <w:rPr>
          <w:sz w:val="24"/>
        </w:rPr>
        <w:t>el</w:t>
      </w:r>
      <w:r>
        <w:rPr>
          <w:spacing w:val="-8"/>
          <w:sz w:val="24"/>
        </w:rPr>
        <w:t> </w:t>
      </w:r>
      <w:r>
        <w:rPr>
          <w:sz w:val="24"/>
        </w:rPr>
        <w:t>impuesto</w:t>
      </w:r>
      <w:r>
        <w:rPr>
          <w:spacing w:val="-7"/>
          <w:sz w:val="24"/>
        </w:rPr>
        <w:t> </w:t>
      </w:r>
      <w:r>
        <w:rPr>
          <w:sz w:val="24"/>
        </w:rPr>
        <w:t>al</w:t>
      </w:r>
      <w:r>
        <w:rPr>
          <w:spacing w:val="-6"/>
          <w:sz w:val="24"/>
        </w:rPr>
        <w:t> </w:t>
      </w:r>
      <w:r>
        <w:rPr>
          <w:sz w:val="24"/>
        </w:rPr>
        <w:t>momento de realizar la venta. Esto significa que cuando un consumidor compra un bien o servicio, el vendedor debe incluir el IGV en el precio total y remitirlo a la administración tributaria.</w:t>
      </w:r>
    </w:p>
    <w:p>
      <w:pPr>
        <w:pStyle w:val="ListParagraph"/>
        <w:numPr>
          <w:ilvl w:val="4"/>
          <w:numId w:val="11"/>
        </w:numPr>
        <w:tabs>
          <w:tab w:pos="2627" w:val="left" w:leader="none"/>
        </w:tabs>
        <w:spacing w:line="480" w:lineRule="auto" w:before="0" w:after="0"/>
        <w:ind w:left="2627" w:right="991" w:hanging="360"/>
        <w:jc w:val="both"/>
        <w:rPr>
          <w:sz w:val="24"/>
        </w:rPr>
      </w:pPr>
      <w:r>
        <w:rPr>
          <w:b/>
          <w:sz w:val="24"/>
        </w:rPr>
        <w:t>Declaración y pago: </w:t>
      </w:r>
      <w:r>
        <w:rPr>
          <w:sz w:val="24"/>
        </w:rPr>
        <w:t>Los contribuyentes deben presentar declaraciones mensuales donde reportan el monto total de las ventas realizadas y el IGV recaudado. Esta declaración se debe presentar en el plazo establecido por la administración tributaria, que generalmente es el mes siguiente al período de recaudación.</w:t>
      </w:r>
    </w:p>
    <w:p>
      <w:pPr>
        <w:pStyle w:val="ListParagraph"/>
        <w:spacing w:after="0" w:line="480" w:lineRule="auto"/>
        <w:jc w:val="both"/>
        <w:rPr>
          <w:sz w:val="24"/>
        </w:rPr>
        <w:sectPr>
          <w:pgSz w:w="11910" w:h="16840"/>
          <w:pgMar w:header="0" w:footer="693" w:top="1340" w:bottom="880" w:left="1559" w:right="425"/>
        </w:sectPr>
      </w:pPr>
    </w:p>
    <w:p>
      <w:pPr>
        <w:pStyle w:val="ListParagraph"/>
        <w:numPr>
          <w:ilvl w:val="4"/>
          <w:numId w:val="11"/>
        </w:numPr>
        <w:tabs>
          <w:tab w:pos="2627" w:val="left" w:leader="none"/>
        </w:tabs>
        <w:spacing w:line="480" w:lineRule="auto" w:before="66" w:after="0"/>
        <w:ind w:left="2627" w:right="990" w:hanging="360"/>
        <w:jc w:val="both"/>
        <w:rPr>
          <w:sz w:val="24"/>
        </w:rPr>
      </w:pPr>
      <w:r>
        <w:rPr>
          <w:b/>
          <w:sz w:val="24"/>
        </w:rPr>
        <w:t>Créditos fiscales: </w:t>
      </w:r>
      <w:r>
        <w:rPr>
          <w:sz w:val="24"/>
        </w:rPr>
        <w:t>Los contribuyentes también pueden acceder a créditos</w:t>
      </w:r>
      <w:r>
        <w:rPr>
          <w:spacing w:val="-6"/>
          <w:sz w:val="24"/>
        </w:rPr>
        <w:t> </w:t>
      </w:r>
      <w:r>
        <w:rPr>
          <w:sz w:val="24"/>
        </w:rPr>
        <w:t>fiscales</w:t>
      </w:r>
      <w:r>
        <w:rPr>
          <w:spacing w:val="-6"/>
          <w:sz w:val="24"/>
        </w:rPr>
        <w:t> </w:t>
      </w:r>
      <w:r>
        <w:rPr>
          <w:sz w:val="24"/>
        </w:rPr>
        <w:t>por</w:t>
      </w:r>
      <w:r>
        <w:rPr>
          <w:spacing w:val="-8"/>
          <w:sz w:val="24"/>
        </w:rPr>
        <w:t> </w:t>
      </w:r>
      <w:r>
        <w:rPr>
          <w:sz w:val="24"/>
        </w:rPr>
        <w:t>el</w:t>
      </w:r>
      <w:r>
        <w:rPr>
          <w:spacing w:val="-8"/>
          <w:sz w:val="24"/>
        </w:rPr>
        <w:t> </w:t>
      </w:r>
      <w:r>
        <w:rPr>
          <w:sz w:val="24"/>
        </w:rPr>
        <w:t>IGV</w:t>
      </w:r>
      <w:r>
        <w:rPr>
          <w:spacing w:val="-6"/>
          <w:sz w:val="24"/>
        </w:rPr>
        <w:t> </w:t>
      </w:r>
      <w:r>
        <w:rPr>
          <w:sz w:val="24"/>
        </w:rPr>
        <w:t>abonado</w:t>
      </w:r>
      <w:r>
        <w:rPr>
          <w:spacing w:val="-6"/>
          <w:sz w:val="24"/>
        </w:rPr>
        <w:t> </w:t>
      </w:r>
      <w:r>
        <w:rPr>
          <w:sz w:val="24"/>
        </w:rPr>
        <w:t>en</w:t>
      </w:r>
      <w:r>
        <w:rPr>
          <w:spacing w:val="-7"/>
          <w:sz w:val="24"/>
        </w:rPr>
        <w:t> </w:t>
      </w:r>
      <w:r>
        <w:rPr>
          <w:sz w:val="24"/>
        </w:rPr>
        <w:t>sus</w:t>
      </w:r>
      <w:r>
        <w:rPr>
          <w:spacing w:val="-6"/>
          <w:sz w:val="24"/>
        </w:rPr>
        <w:t> </w:t>
      </w:r>
      <w:r>
        <w:rPr>
          <w:sz w:val="24"/>
        </w:rPr>
        <w:t>compras</w:t>
      </w:r>
      <w:r>
        <w:rPr>
          <w:spacing w:val="-6"/>
          <w:sz w:val="24"/>
        </w:rPr>
        <w:t> </w:t>
      </w:r>
      <w:r>
        <w:rPr>
          <w:sz w:val="24"/>
        </w:rPr>
        <w:t>de</w:t>
      </w:r>
      <w:r>
        <w:rPr>
          <w:spacing w:val="-7"/>
          <w:sz w:val="24"/>
        </w:rPr>
        <w:t> </w:t>
      </w:r>
      <w:r>
        <w:rPr>
          <w:sz w:val="24"/>
        </w:rPr>
        <w:t>productos y atenciones utilizadas en su actividad económica. Esto significa que el IGV pagado por los insumos o servicios adquiridos puede deducirse del IGV que el contribuyente debe remitir al Estado. Esta mecánica ayuda a evitar la acumulación de impuestos en la cadena de producción y distribución.</w:t>
      </w:r>
    </w:p>
    <w:p>
      <w:pPr>
        <w:pStyle w:val="ListParagraph"/>
        <w:numPr>
          <w:ilvl w:val="4"/>
          <w:numId w:val="11"/>
        </w:numPr>
        <w:tabs>
          <w:tab w:pos="2627" w:val="left" w:leader="none"/>
        </w:tabs>
        <w:spacing w:line="480" w:lineRule="auto" w:before="1" w:after="0"/>
        <w:ind w:left="2627" w:right="992" w:hanging="360"/>
        <w:jc w:val="both"/>
        <w:rPr>
          <w:sz w:val="24"/>
        </w:rPr>
      </w:pPr>
      <w:r>
        <w:rPr>
          <w:b/>
          <w:sz w:val="24"/>
        </w:rPr>
        <w:t>Fiscalización: </w:t>
      </w:r>
      <w:r>
        <w:rPr>
          <w:sz w:val="24"/>
        </w:rPr>
        <w:t>La administración tributaria tiene la obligación de vigilar el respeto de las obligaciones fiscales relacionadas con el IGV. Esto incluye auditorías y revisiones a las declaraciones de los</w:t>
      </w:r>
      <w:r>
        <w:rPr>
          <w:spacing w:val="-2"/>
          <w:sz w:val="24"/>
        </w:rPr>
        <w:t> </w:t>
      </w:r>
      <w:r>
        <w:rPr>
          <w:sz w:val="24"/>
        </w:rPr>
        <w:t>contribuyentes</w:t>
      </w:r>
      <w:r>
        <w:rPr>
          <w:spacing w:val="-2"/>
          <w:sz w:val="24"/>
        </w:rPr>
        <w:t> </w:t>
      </w:r>
      <w:r>
        <w:rPr>
          <w:sz w:val="24"/>
        </w:rPr>
        <w:t>para</w:t>
      </w:r>
      <w:r>
        <w:rPr>
          <w:spacing w:val="-3"/>
          <w:sz w:val="24"/>
        </w:rPr>
        <w:t> </w:t>
      </w:r>
      <w:r>
        <w:rPr>
          <w:sz w:val="24"/>
        </w:rPr>
        <w:t>asegurar</w:t>
      </w:r>
      <w:r>
        <w:rPr>
          <w:spacing w:val="-3"/>
          <w:sz w:val="24"/>
        </w:rPr>
        <w:t> </w:t>
      </w:r>
      <w:r>
        <w:rPr>
          <w:sz w:val="24"/>
        </w:rPr>
        <w:t>que</w:t>
      </w:r>
      <w:r>
        <w:rPr>
          <w:spacing w:val="-3"/>
          <w:sz w:val="24"/>
        </w:rPr>
        <w:t> </w:t>
      </w:r>
      <w:r>
        <w:rPr>
          <w:sz w:val="24"/>
        </w:rPr>
        <w:t>se</w:t>
      </w:r>
      <w:r>
        <w:rPr>
          <w:spacing w:val="-3"/>
          <w:sz w:val="24"/>
        </w:rPr>
        <w:t> </w:t>
      </w:r>
      <w:r>
        <w:rPr>
          <w:sz w:val="24"/>
        </w:rPr>
        <w:t>cumplan</w:t>
      </w:r>
      <w:r>
        <w:rPr>
          <w:spacing w:val="-3"/>
          <w:sz w:val="24"/>
        </w:rPr>
        <w:t> </w:t>
      </w:r>
      <w:r>
        <w:rPr>
          <w:sz w:val="24"/>
        </w:rPr>
        <w:t>las</w:t>
      </w:r>
      <w:r>
        <w:rPr>
          <w:spacing w:val="-3"/>
          <w:sz w:val="24"/>
        </w:rPr>
        <w:t> </w:t>
      </w:r>
      <w:r>
        <w:rPr>
          <w:sz w:val="24"/>
        </w:rPr>
        <w:t>normativas</w:t>
      </w:r>
      <w:r>
        <w:rPr>
          <w:spacing w:val="-2"/>
          <w:sz w:val="24"/>
        </w:rPr>
        <w:t> </w:t>
      </w:r>
      <w:r>
        <w:rPr>
          <w:sz w:val="24"/>
        </w:rPr>
        <w:t>y se recauden adecuadamente los impuestos.</w:t>
      </w:r>
    </w:p>
    <w:p>
      <w:pPr>
        <w:pStyle w:val="BodyText"/>
        <w:spacing w:line="480" w:lineRule="auto" w:before="1"/>
        <w:ind w:left="1135" w:right="993" w:firstLine="720"/>
        <w:jc w:val="both"/>
      </w:pPr>
      <w:r>
        <w:rPr/>
        <w:t>En conclusión, el funcionamiento del</w:t>
      </w:r>
      <w:r>
        <w:rPr>
          <w:spacing w:val="-1"/>
        </w:rPr>
        <w:t> </w:t>
      </w:r>
      <w:r>
        <w:rPr/>
        <w:t>IGV se basa en una base imponible bien definida, una tasa que ha evolucionado con el tiempo y un mecanismo de recaudación</w:t>
      </w:r>
      <w:r>
        <w:rPr>
          <w:spacing w:val="-9"/>
        </w:rPr>
        <w:t> </w:t>
      </w:r>
      <w:r>
        <w:rPr/>
        <w:t>estructurado</w:t>
      </w:r>
      <w:r>
        <w:rPr>
          <w:spacing w:val="-9"/>
        </w:rPr>
        <w:t> </w:t>
      </w:r>
      <w:r>
        <w:rPr/>
        <w:t>que</w:t>
      </w:r>
      <w:r>
        <w:rPr>
          <w:spacing w:val="-9"/>
        </w:rPr>
        <w:t> </w:t>
      </w:r>
      <w:r>
        <w:rPr/>
        <w:t>busca</w:t>
      </w:r>
      <w:r>
        <w:rPr>
          <w:spacing w:val="-9"/>
        </w:rPr>
        <w:t> </w:t>
      </w:r>
      <w:r>
        <w:rPr/>
        <w:t>garantizar</w:t>
      </w:r>
      <w:r>
        <w:rPr>
          <w:spacing w:val="-8"/>
        </w:rPr>
        <w:t> </w:t>
      </w:r>
      <w:r>
        <w:rPr/>
        <w:t>la</w:t>
      </w:r>
      <w:r>
        <w:rPr>
          <w:spacing w:val="-9"/>
        </w:rPr>
        <w:t> </w:t>
      </w:r>
      <w:r>
        <w:rPr/>
        <w:t>efectividad</w:t>
      </w:r>
      <w:r>
        <w:rPr>
          <w:spacing w:val="-9"/>
        </w:rPr>
        <w:t> </w:t>
      </w:r>
      <w:r>
        <w:rPr/>
        <w:t>y</w:t>
      </w:r>
      <w:r>
        <w:rPr>
          <w:spacing w:val="-9"/>
        </w:rPr>
        <w:t> </w:t>
      </w:r>
      <w:r>
        <w:rPr/>
        <w:t>transparencia</w:t>
      </w:r>
      <w:r>
        <w:rPr>
          <w:spacing w:val="-9"/>
        </w:rPr>
        <w:t> </w:t>
      </w:r>
      <w:r>
        <w:rPr/>
        <w:t>en</w:t>
      </w:r>
      <w:r>
        <w:rPr>
          <w:spacing w:val="-7"/>
        </w:rPr>
        <w:t> </w:t>
      </w:r>
      <w:r>
        <w:rPr/>
        <w:t>el sistema</w:t>
      </w:r>
      <w:r>
        <w:rPr>
          <w:spacing w:val="-1"/>
        </w:rPr>
        <w:t> </w:t>
      </w:r>
      <w:r>
        <w:rPr/>
        <w:t>tributario.</w:t>
      </w:r>
      <w:r>
        <w:rPr>
          <w:spacing w:val="-1"/>
        </w:rPr>
        <w:t> </w:t>
      </w:r>
      <w:r>
        <w:rPr/>
        <w:t>Estos elementos son fundamentales para el acatamiento</w:t>
      </w:r>
      <w:r>
        <w:rPr>
          <w:spacing w:val="-1"/>
        </w:rPr>
        <w:t> </w:t>
      </w:r>
      <w:r>
        <w:rPr/>
        <w:t>de los compromisos tributarios y el financiamiento de las políticas públicas en el país.</w:t>
      </w:r>
    </w:p>
    <w:p>
      <w:pPr>
        <w:pStyle w:val="BodyText"/>
      </w:pPr>
    </w:p>
    <w:p>
      <w:pPr>
        <w:pStyle w:val="BodyText"/>
      </w:pPr>
    </w:p>
    <w:p>
      <w:pPr>
        <w:pStyle w:val="Heading3"/>
        <w:numPr>
          <w:ilvl w:val="2"/>
          <w:numId w:val="11"/>
        </w:numPr>
        <w:tabs>
          <w:tab w:pos="1169" w:val="left" w:leader="none"/>
        </w:tabs>
        <w:spacing w:line="240" w:lineRule="auto" w:before="0" w:after="0"/>
        <w:ind w:left="1169" w:right="0" w:hanging="600"/>
        <w:jc w:val="left"/>
      </w:pPr>
      <w:r>
        <w:rPr/>
        <w:t>Dimensiones</w:t>
      </w:r>
      <w:r>
        <w:rPr>
          <w:spacing w:val="-3"/>
        </w:rPr>
        <w:t> </w:t>
      </w:r>
      <w:r>
        <w:rPr/>
        <w:t>de</w:t>
      </w:r>
      <w:r>
        <w:rPr>
          <w:spacing w:val="-1"/>
        </w:rPr>
        <w:t> </w:t>
      </w:r>
      <w:r>
        <w:rPr/>
        <w:t>Impuesto</w:t>
      </w:r>
      <w:r>
        <w:rPr>
          <w:spacing w:val="-1"/>
        </w:rPr>
        <w:t> </w:t>
      </w:r>
      <w:r>
        <w:rPr/>
        <w:t>General</w:t>
      </w:r>
      <w:r>
        <w:rPr>
          <w:spacing w:val="-2"/>
        </w:rPr>
        <w:t> </w:t>
      </w:r>
      <w:r>
        <w:rPr/>
        <w:t>de</w:t>
      </w:r>
      <w:r>
        <w:rPr>
          <w:spacing w:val="-1"/>
        </w:rPr>
        <w:t> </w:t>
      </w:r>
      <w:r>
        <w:rPr/>
        <w:t>las </w:t>
      </w:r>
      <w:r>
        <w:rPr>
          <w:spacing w:val="-2"/>
        </w:rPr>
        <w:t>Ventas.</w:t>
      </w:r>
    </w:p>
    <w:p>
      <w:pPr>
        <w:pStyle w:val="BodyText"/>
        <w:rPr>
          <w:b/>
        </w:rPr>
      </w:pPr>
    </w:p>
    <w:p>
      <w:pPr>
        <w:pStyle w:val="ListParagraph"/>
        <w:numPr>
          <w:ilvl w:val="3"/>
          <w:numId w:val="11"/>
        </w:numPr>
        <w:tabs>
          <w:tab w:pos="1419" w:val="left" w:leader="none"/>
        </w:tabs>
        <w:spacing w:line="240" w:lineRule="auto" w:before="0" w:after="0"/>
        <w:ind w:left="1419" w:right="0" w:hanging="360"/>
        <w:jc w:val="left"/>
        <w:rPr>
          <w:b/>
          <w:sz w:val="24"/>
        </w:rPr>
      </w:pPr>
      <w:r>
        <w:rPr>
          <w:b/>
          <w:sz w:val="24"/>
        </w:rPr>
        <w:t>Estabilidad</w:t>
      </w:r>
      <w:r>
        <w:rPr>
          <w:b/>
          <w:spacing w:val="-2"/>
          <w:sz w:val="24"/>
        </w:rPr>
        <w:t> Económica</w:t>
      </w:r>
    </w:p>
    <w:p>
      <w:pPr>
        <w:pStyle w:val="BodyText"/>
        <w:rPr>
          <w:b/>
        </w:rPr>
      </w:pPr>
    </w:p>
    <w:p>
      <w:pPr>
        <w:pStyle w:val="BodyText"/>
        <w:spacing w:line="480" w:lineRule="auto"/>
        <w:ind w:left="1419" w:right="993" w:firstLine="720"/>
        <w:jc w:val="both"/>
      </w:pPr>
      <w:r>
        <w:rPr/>
        <w:t>La solidez económica se relaciona con la habilidad de una economía para sostener un desarrollo sostenible y predecible a lo largo de los años, evitando fluctuaciones severas en los ciclos económicos.</w:t>
      </w:r>
    </w:p>
    <w:p>
      <w:pPr>
        <w:pStyle w:val="ListParagraph"/>
        <w:numPr>
          <w:ilvl w:val="4"/>
          <w:numId w:val="11"/>
        </w:numPr>
        <w:tabs>
          <w:tab w:pos="2627" w:val="left" w:leader="none"/>
        </w:tabs>
        <w:spacing w:line="480" w:lineRule="auto" w:before="0" w:after="0"/>
        <w:ind w:left="2627" w:right="991" w:hanging="360"/>
        <w:jc w:val="both"/>
        <w:rPr>
          <w:sz w:val="24"/>
        </w:rPr>
      </w:pPr>
      <w:r>
        <w:rPr>
          <w:b/>
          <w:sz w:val="24"/>
        </w:rPr>
        <w:t>Recaudación constante: </w:t>
      </w:r>
      <w:r>
        <w:rPr>
          <w:sz w:val="24"/>
        </w:rPr>
        <w:t>El IGV, uno de los tributos más significativos,</w:t>
      </w:r>
      <w:r>
        <w:rPr>
          <w:spacing w:val="-13"/>
          <w:sz w:val="24"/>
        </w:rPr>
        <w:t> </w:t>
      </w:r>
      <w:r>
        <w:rPr>
          <w:sz w:val="24"/>
        </w:rPr>
        <w:t>contribuye</w:t>
      </w:r>
      <w:r>
        <w:rPr>
          <w:spacing w:val="-14"/>
          <w:sz w:val="24"/>
        </w:rPr>
        <w:t> </w:t>
      </w:r>
      <w:r>
        <w:rPr>
          <w:sz w:val="24"/>
        </w:rPr>
        <w:t>de</w:t>
      </w:r>
      <w:r>
        <w:rPr>
          <w:spacing w:val="-14"/>
          <w:sz w:val="24"/>
        </w:rPr>
        <w:t> </w:t>
      </w:r>
      <w:r>
        <w:rPr>
          <w:sz w:val="24"/>
        </w:rPr>
        <w:t>manera</w:t>
      </w:r>
      <w:r>
        <w:rPr>
          <w:spacing w:val="-14"/>
          <w:sz w:val="24"/>
        </w:rPr>
        <w:t> </w:t>
      </w:r>
      <w:r>
        <w:rPr>
          <w:sz w:val="24"/>
        </w:rPr>
        <w:t>significativa</w:t>
      </w:r>
      <w:r>
        <w:rPr>
          <w:spacing w:val="-14"/>
          <w:sz w:val="24"/>
        </w:rPr>
        <w:t> </w:t>
      </w:r>
      <w:r>
        <w:rPr>
          <w:sz w:val="24"/>
        </w:rPr>
        <w:t>a</w:t>
      </w:r>
      <w:r>
        <w:rPr>
          <w:spacing w:val="-12"/>
          <w:sz w:val="24"/>
        </w:rPr>
        <w:t> </w:t>
      </w:r>
      <w:r>
        <w:rPr>
          <w:sz w:val="24"/>
        </w:rPr>
        <w:t>la</w:t>
      </w:r>
      <w:r>
        <w:rPr>
          <w:spacing w:val="-14"/>
          <w:sz w:val="24"/>
        </w:rPr>
        <w:t> </w:t>
      </w:r>
      <w:r>
        <w:rPr>
          <w:sz w:val="24"/>
        </w:rPr>
        <w:t>recaudación</w:t>
      </w:r>
    </w:p>
    <w:p>
      <w:pPr>
        <w:pStyle w:val="ListParagraph"/>
        <w:spacing w:after="0" w:line="480" w:lineRule="auto"/>
        <w:jc w:val="both"/>
        <w:rPr>
          <w:sz w:val="24"/>
        </w:rPr>
        <w:sectPr>
          <w:pgSz w:w="11910" w:h="16840"/>
          <w:pgMar w:header="0" w:footer="693" w:top="1340" w:bottom="880" w:left="1559" w:right="425"/>
        </w:sectPr>
      </w:pPr>
    </w:p>
    <w:p>
      <w:pPr>
        <w:pStyle w:val="BodyText"/>
        <w:spacing w:line="480" w:lineRule="auto" w:before="66"/>
        <w:ind w:left="2627" w:right="992"/>
        <w:jc w:val="both"/>
      </w:pPr>
      <w:r>
        <w:rPr/>
        <w:t>fiscal del Estado. Una recaudación sólida y predecible del IGV ayuda a financiar programas públicos, infraestructura y servicios esenciales, lo que a su vez promueve un entorno económico </w:t>
      </w:r>
      <w:r>
        <w:rPr>
          <w:spacing w:val="-2"/>
        </w:rPr>
        <w:t>estable.</w:t>
      </w:r>
    </w:p>
    <w:p>
      <w:pPr>
        <w:pStyle w:val="ListParagraph"/>
        <w:numPr>
          <w:ilvl w:val="4"/>
          <w:numId w:val="11"/>
        </w:numPr>
        <w:tabs>
          <w:tab w:pos="2627" w:val="left" w:leader="none"/>
        </w:tabs>
        <w:spacing w:line="480" w:lineRule="auto" w:before="1" w:after="0"/>
        <w:ind w:left="2627" w:right="989" w:hanging="360"/>
        <w:jc w:val="both"/>
        <w:rPr>
          <w:sz w:val="24"/>
        </w:rPr>
      </w:pPr>
      <w:r>
        <w:rPr>
          <w:b/>
          <w:sz w:val="24"/>
        </w:rPr>
        <w:t>Influencia en la inversión: </w:t>
      </w:r>
      <w:r>
        <w:rPr>
          <w:sz w:val="24"/>
        </w:rPr>
        <w:t>La estabilidad del IGV permite a las empresas</w:t>
      </w:r>
      <w:r>
        <w:rPr>
          <w:spacing w:val="-6"/>
          <w:sz w:val="24"/>
        </w:rPr>
        <w:t> </w:t>
      </w:r>
      <w:r>
        <w:rPr>
          <w:sz w:val="24"/>
        </w:rPr>
        <w:t>planificar</w:t>
      </w:r>
      <w:r>
        <w:rPr>
          <w:spacing w:val="-7"/>
          <w:sz w:val="24"/>
        </w:rPr>
        <w:t> </w:t>
      </w:r>
      <w:r>
        <w:rPr>
          <w:sz w:val="24"/>
        </w:rPr>
        <w:t>con</w:t>
      </w:r>
      <w:r>
        <w:rPr>
          <w:spacing w:val="-6"/>
          <w:sz w:val="24"/>
        </w:rPr>
        <w:t> </w:t>
      </w:r>
      <w:r>
        <w:rPr>
          <w:sz w:val="24"/>
        </w:rPr>
        <w:t>mayor</w:t>
      </w:r>
      <w:r>
        <w:rPr>
          <w:spacing w:val="-7"/>
          <w:sz w:val="24"/>
        </w:rPr>
        <w:t> </w:t>
      </w:r>
      <w:r>
        <w:rPr>
          <w:sz w:val="24"/>
        </w:rPr>
        <w:t>certeza</w:t>
      </w:r>
      <w:r>
        <w:rPr>
          <w:spacing w:val="-8"/>
          <w:sz w:val="24"/>
        </w:rPr>
        <w:t> </w:t>
      </w:r>
      <w:r>
        <w:rPr>
          <w:sz w:val="24"/>
        </w:rPr>
        <w:t>sus</w:t>
      </w:r>
      <w:r>
        <w:rPr>
          <w:spacing w:val="-5"/>
          <w:sz w:val="24"/>
        </w:rPr>
        <w:t> </w:t>
      </w:r>
      <w:r>
        <w:rPr>
          <w:sz w:val="24"/>
        </w:rPr>
        <w:t>costos</w:t>
      </w:r>
      <w:r>
        <w:rPr>
          <w:spacing w:val="-6"/>
          <w:sz w:val="24"/>
        </w:rPr>
        <w:t> </w:t>
      </w:r>
      <w:r>
        <w:rPr>
          <w:sz w:val="24"/>
        </w:rPr>
        <w:t>operativos</w:t>
      </w:r>
      <w:r>
        <w:rPr>
          <w:spacing w:val="-6"/>
          <w:sz w:val="24"/>
        </w:rPr>
        <w:t> </w:t>
      </w:r>
      <w:r>
        <w:rPr>
          <w:sz w:val="24"/>
        </w:rPr>
        <w:t>y</w:t>
      </w:r>
      <w:r>
        <w:rPr>
          <w:spacing w:val="-6"/>
          <w:sz w:val="24"/>
        </w:rPr>
        <w:t> </w:t>
      </w:r>
      <w:r>
        <w:rPr>
          <w:sz w:val="24"/>
        </w:rPr>
        <w:t>sus obligaciones fiscales. Una tasa del IGV que no sufra cambios drásticos fomenta la confianza de los inversores, lo que puede llevar</w:t>
      </w:r>
      <w:r>
        <w:rPr>
          <w:spacing w:val="-5"/>
          <w:sz w:val="24"/>
        </w:rPr>
        <w:t> </w:t>
      </w:r>
      <w:r>
        <w:rPr>
          <w:sz w:val="24"/>
        </w:rPr>
        <w:t>a</w:t>
      </w:r>
      <w:r>
        <w:rPr>
          <w:spacing w:val="-8"/>
          <w:sz w:val="24"/>
        </w:rPr>
        <w:t> </w:t>
      </w:r>
      <w:r>
        <w:rPr>
          <w:sz w:val="24"/>
        </w:rPr>
        <w:t>un</w:t>
      </w:r>
      <w:r>
        <w:rPr>
          <w:spacing w:val="-8"/>
          <w:sz w:val="24"/>
        </w:rPr>
        <w:t> </w:t>
      </w:r>
      <w:r>
        <w:rPr>
          <w:sz w:val="24"/>
        </w:rPr>
        <w:t>aumento</w:t>
      </w:r>
      <w:r>
        <w:rPr>
          <w:spacing w:val="-4"/>
          <w:sz w:val="24"/>
        </w:rPr>
        <w:t> </w:t>
      </w:r>
      <w:r>
        <w:rPr>
          <w:sz w:val="24"/>
        </w:rPr>
        <w:t>en</w:t>
      </w:r>
      <w:r>
        <w:rPr>
          <w:spacing w:val="-8"/>
          <w:sz w:val="24"/>
        </w:rPr>
        <w:t> </w:t>
      </w:r>
      <w:r>
        <w:rPr>
          <w:sz w:val="24"/>
        </w:rPr>
        <w:t>la</w:t>
      </w:r>
      <w:r>
        <w:rPr>
          <w:spacing w:val="-7"/>
          <w:sz w:val="24"/>
        </w:rPr>
        <w:t> </w:t>
      </w:r>
      <w:r>
        <w:rPr>
          <w:sz w:val="24"/>
        </w:rPr>
        <w:t>inversión</w:t>
      </w:r>
      <w:r>
        <w:rPr>
          <w:spacing w:val="-8"/>
          <w:sz w:val="24"/>
        </w:rPr>
        <w:t> </w:t>
      </w:r>
      <w:r>
        <w:rPr>
          <w:sz w:val="24"/>
        </w:rPr>
        <w:t>extranjera</w:t>
      </w:r>
      <w:r>
        <w:rPr>
          <w:spacing w:val="-9"/>
          <w:sz w:val="24"/>
        </w:rPr>
        <w:t> </w:t>
      </w:r>
      <w:r>
        <w:rPr>
          <w:sz w:val="24"/>
        </w:rPr>
        <w:t>y</w:t>
      </w:r>
      <w:r>
        <w:rPr>
          <w:spacing w:val="-5"/>
          <w:sz w:val="24"/>
        </w:rPr>
        <w:t> </w:t>
      </w:r>
      <w:r>
        <w:rPr>
          <w:sz w:val="24"/>
        </w:rPr>
        <w:t>local,</w:t>
      </w:r>
      <w:r>
        <w:rPr>
          <w:spacing w:val="-8"/>
          <w:sz w:val="24"/>
        </w:rPr>
        <w:t> </w:t>
      </w:r>
      <w:r>
        <w:rPr>
          <w:sz w:val="24"/>
        </w:rPr>
        <w:t>impulsando así el crecimiento económico.</w:t>
      </w:r>
    </w:p>
    <w:p>
      <w:pPr>
        <w:pStyle w:val="ListParagraph"/>
        <w:numPr>
          <w:ilvl w:val="4"/>
          <w:numId w:val="11"/>
        </w:numPr>
        <w:tabs>
          <w:tab w:pos="2627" w:val="left" w:leader="none"/>
        </w:tabs>
        <w:spacing w:line="480" w:lineRule="auto" w:before="1" w:after="0"/>
        <w:ind w:left="2627" w:right="990" w:hanging="360"/>
        <w:jc w:val="both"/>
        <w:rPr>
          <w:sz w:val="24"/>
        </w:rPr>
      </w:pPr>
      <w:r>
        <w:rPr>
          <w:b/>
          <w:sz w:val="24"/>
        </w:rPr>
        <w:t>Control de inflación: </w:t>
      </w:r>
      <w:r>
        <w:rPr>
          <w:sz w:val="24"/>
        </w:rPr>
        <w:t>Al ser un impuesto al consumo, el IGV puede influir en la demanda agregada. Si el IGV se mantiene estable, se puede controlar la inflación, lo que contribuye a un entorno económico más predecible y estable.</w:t>
      </w:r>
    </w:p>
    <w:p>
      <w:pPr>
        <w:pStyle w:val="Heading3"/>
        <w:numPr>
          <w:ilvl w:val="3"/>
          <w:numId w:val="11"/>
        </w:numPr>
        <w:tabs>
          <w:tab w:pos="1559" w:val="left" w:leader="none"/>
        </w:tabs>
        <w:spacing w:line="240" w:lineRule="auto" w:before="0" w:after="0"/>
        <w:ind w:left="1559" w:right="0" w:hanging="424"/>
        <w:jc w:val="both"/>
      </w:pPr>
      <w:r>
        <w:rPr/>
        <w:t>Liquidez</w:t>
      </w:r>
      <w:r>
        <w:rPr>
          <w:spacing w:val="-3"/>
        </w:rPr>
        <w:t> </w:t>
      </w:r>
      <w:r>
        <w:rPr>
          <w:spacing w:val="-2"/>
        </w:rPr>
        <w:t>Económica</w:t>
      </w:r>
    </w:p>
    <w:p>
      <w:pPr>
        <w:pStyle w:val="BodyText"/>
        <w:rPr>
          <w:b/>
        </w:rPr>
      </w:pPr>
    </w:p>
    <w:p>
      <w:pPr>
        <w:pStyle w:val="BodyText"/>
        <w:spacing w:line="480" w:lineRule="auto"/>
        <w:ind w:left="1419" w:right="991" w:firstLine="720"/>
        <w:jc w:val="both"/>
      </w:pPr>
      <w:r>
        <w:rPr/>
        <w:t>La liquidez económica se relaciona con la habilidad de los agentes económicos (empresas y consumidores) para hacer frente a sus compromisos financieros</w:t>
      </w:r>
      <w:r>
        <w:rPr>
          <w:spacing w:val="-3"/>
        </w:rPr>
        <w:t> </w:t>
      </w:r>
      <w:r>
        <w:rPr/>
        <w:t>a</w:t>
      </w:r>
      <w:r>
        <w:rPr>
          <w:spacing w:val="-2"/>
        </w:rPr>
        <w:t> </w:t>
      </w:r>
      <w:r>
        <w:rPr/>
        <w:t>corto</w:t>
      </w:r>
      <w:r>
        <w:rPr>
          <w:spacing w:val="-1"/>
        </w:rPr>
        <w:t> </w:t>
      </w:r>
      <w:r>
        <w:rPr/>
        <w:t>término,</w:t>
      </w:r>
      <w:r>
        <w:rPr>
          <w:spacing w:val="-3"/>
        </w:rPr>
        <w:t> </w:t>
      </w:r>
      <w:r>
        <w:rPr/>
        <w:t>asegurando</w:t>
      </w:r>
      <w:r>
        <w:rPr>
          <w:spacing w:val="-3"/>
        </w:rPr>
        <w:t> </w:t>
      </w:r>
      <w:r>
        <w:rPr/>
        <w:t>que</w:t>
      </w:r>
      <w:r>
        <w:rPr>
          <w:spacing w:val="-3"/>
        </w:rPr>
        <w:t> </w:t>
      </w:r>
      <w:r>
        <w:rPr/>
        <w:t>dispongan</w:t>
      </w:r>
      <w:r>
        <w:rPr>
          <w:spacing w:val="-3"/>
        </w:rPr>
        <w:t> </w:t>
      </w:r>
      <w:r>
        <w:rPr/>
        <w:t>de suficientes</w:t>
      </w:r>
      <w:r>
        <w:rPr>
          <w:spacing w:val="-3"/>
        </w:rPr>
        <w:t> </w:t>
      </w:r>
      <w:r>
        <w:rPr/>
        <w:t>recursos para operar sin contratiempos.</w:t>
      </w:r>
    </w:p>
    <w:p>
      <w:pPr>
        <w:pStyle w:val="ListParagraph"/>
        <w:numPr>
          <w:ilvl w:val="4"/>
          <w:numId w:val="11"/>
        </w:numPr>
        <w:tabs>
          <w:tab w:pos="2627" w:val="left" w:leader="none"/>
        </w:tabs>
        <w:spacing w:line="480" w:lineRule="auto" w:before="0" w:after="0"/>
        <w:ind w:left="2627" w:right="989" w:hanging="360"/>
        <w:jc w:val="both"/>
        <w:rPr>
          <w:sz w:val="24"/>
        </w:rPr>
      </w:pPr>
      <w:r>
        <w:rPr>
          <w:b/>
          <w:sz w:val="24"/>
        </w:rPr>
        <w:t>Impacto en el flujo de caja: </w:t>
      </w:r>
      <w:r>
        <w:rPr>
          <w:sz w:val="24"/>
        </w:rPr>
        <w:t>El IGV puede afectar de forma directa</w:t>
      </w:r>
      <w:r>
        <w:rPr>
          <w:spacing w:val="-6"/>
          <w:sz w:val="24"/>
        </w:rPr>
        <w:t> </w:t>
      </w:r>
      <w:r>
        <w:rPr>
          <w:sz w:val="24"/>
        </w:rPr>
        <w:t>el</w:t>
      </w:r>
      <w:r>
        <w:rPr>
          <w:spacing w:val="-5"/>
          <w:sz w:val="24"/>
        </w:rPr>
        <w:t> </w:t>
      </w:r>
      <w:r>
        <w:rPr>
          <w:sz w:val="24"/>
        </w:rPr>
        <w:t>movimiento</w:t>
      </w:r>
      <w:r>
        <w:rPr>
          <w:spacing w:val="-4"/>
          <w:sz w:val="24"/>
        </w:rPr>
        <w:t> </w:t>
      </w:r>
      <w:r>
        <w:rPr>
          <w:sz w:val="24"/>
        </w:rPr>
        <w:t>de</w:t>
      </w:r>
      <w:r>
        <w:rPr>
          <w:spacing w:val="-4"/>
          <w:sz w:val="24"/>
        </w:rPr>
        <w:t> </w:t>
      </w:r>
      <w:r>
        <w:rPr>
          <w:sz w:val="24"/>
        </w:rPr>
        <w:t>efectivo</w:t>
      </w:r>
      <w:r>
        <w:rPr>
          <w:spacing w:val="-4"/>
          <w:sz w:val="24"/>
        </w:rPr>
        <w:t> </w:t>
      </w:r>
      <w:r>
        <w:rPr>
          <w:sz w:val="24"/>
        </w:rPr>
        <w:t>de</w:t>
      </w:r>
      <w:r>
        <w:rPr>
          <w:spacing w:val="-4"/>
          <w:sz w:val="24"/>
        </w:rPr>
        <w:t> </w:t>
      </w:r>
      <w:r>
        <w:rPr>
          <w:sz w:val="24"/>
        </w:rPr>
        <w:t>las</w:t>
      </w:r>
      <w:r>
        <w:rPr>
          <w:spacing w:val="-4"/>
          <w:sz w:val="24"/>
        </w:rPr>
        <w:t> </w:t>
      </w:r>
      <w:r>
        <w:rPr>
          <w:sz w:val="24"/>
        </w:rPr>
        <w:t>compañías,</w:t>
      </w:r>
      <w:r>
        <w:rPr>
          <w:spacing w:val="-4"/>
          <w:sz w:val="24"/>
        </w:rPr>
        <w:t> </w:t>
      </w:r>
      <w:r>
        <w:rPr>
          <w:sz w:val="24"/>
        </w:rPr>
        <w:t>ya</w:t>
      </w:r>
      <w:r>
        <w:rPr>
          <w:spacing w:val="-4"/>
          <w:sz w:val="24"/>
        </w:rPr>
        <w:t> </w:t>
      </w:r>
      <w:r>
        <w:rPr>
          <w:sz w:val="24"/>
        </w:rPr>
        <w:t>que</w:t>
      </w:r>
      <w:r>
        <w:rPr>
          <w:spacing w:val="-5"/>
          <w:sz w:val="24"/>
        </w:rPr>
        <w:t> </w:t>
      </w:r>
      <w:r>
        <w:rPr>
          <w:sz w:val="24"/>
        </w:rPr>
        <w:t>deben incluirlo en el costo de venta de sus bienes y remitirlo a la administración tributaria. Las empresas con un buen manejo del IGV</w:t>
      </w:r>
      <w:r>
        <w:rPr>
          <w:spacing w:val="-15"/>
          <w:sz w:val="24"/>
        </w:rPr>
        <w:t> </w:t>
      </w:r>
      <w:r>
        <w:rPr>
          <w:sz w:val="24"/>
        </w:rPr>
        <w:t>pueden</w:t>
      </w:r>
      <w:r>
        <w:rPr>
          <w:spacing w:val="-15"/>
          <w:sz w:val="24"/>
        </w:rPr>
        <w:t> </w:t>
      </w:r>
      <w:r>
        <w:rPr>
          <w:sz w:val="24"/>
        </w:rPr>
        <w:t>optimizar</w:t>
      </w:r>
      <w:r>
        <w:rPr>
          <w:spacing w:val="-15"/>
          <w:sz w:val="24"/>
        </w:rPr>
        <w:t> </w:t>
      </w:r>
      <w:r>
        <w:rPr>
          <w:sz w:val="24"/>
        </w:rPr>
        <w:t>su</w:t>
      </w:r>
      <w:r>
        <w:rPr>
          <w:spacing w:val="-15"/>
          <w:sz w:val="24"/>
        </w:rPr>
        <w:t> </w:t>
      </w:r>
      <w:r>
        <w:rPr>
          <w:sz w:val="24"/>
        </w:rPr>
        <w:t>liquidez,</w:t>
      </w:r>
      <w:r>
        <w:rPr>
          <w:spacing w:val="-15"/>
          <w:sz w:val="24"/>
        </w:rPr>
        <w:t> </w:t>
      </w:r>
      <w:r>
        <w:rPr>
          <w:sz w:val="24"/>
        </w:rPr>
        <w:t>utilizando</w:t>
      </w:r>
      <w:r>
        <w:rPr>
          <w:spacing w:val="-15"/>
          <w:sz w:val="24"/>
        </w:rPr>
        <w:t> </w:t>
      </w:r>
      <w:r>
        <w:rPr>
          <w:sz w:val="24"/>
        </w:rPr>
        <w:t>créditos</w:t>
      </w:r>
      <w:r>
        <w:rPr>
          <w:spacing w:val="-15"/>
          <w:sz w:val="24"/>
        </w:rPr>
        <w:t> </w:t>
      </w:r>
      <w:r>
        <w:rPr>
          <w:sz w:val="24"/>
        </w:rPr>
        <w:t>fiscales</w:t>
      </w:r>
      <w:r>
        <w:rPr>
          <w:spacing w:val="-15"/>
          <w:sz w:val="24"/>
        </w:rPr>
        <w:t> </w:t>
      </w:r>
      <w:r>
        <w:rPr>
          <w:sz w:val="24"/>
        </w:rPr>
        <w:t>para disminuir el monto a pagar.</w:t>
      </w:r>
    </w:p>
    <w:p>
      <w:pPr>
        <w:pStyle w:val="ListParagraph"/>
        <w:spacing w:after="0" w:line="480" w:lineRule="auto"/>
        <w:jc w:val="both"/>
        <w:rPr>
          <w:sz w:val="24"/>
        </w:rPr>
        <w:sectPr>
          <w:pgSz w:w="11910" w:h="16840"/>
          <w:pgMar w:header="0" w:footer="693" w:top="1340" w:bottom="880" w:left="1559" w:right="425"/>
        </w:sectPr>
      </w:pPr>
    </w:p>
    <w:p>
      <w:pPr>
        <w:pStyle w:val="ListParagraph"/>
        <w:numPr>
          <w:ilvl w:val="4"/>
          <w:numId w:val="11"/>
        </w:numPr>
        <w:tabs>
          <w:tab w:pos="2627" w:val="left" w:leader="none"/>
        </w:tabs>
        <w:spacing w:line="480" w:lineRule="auto" w:before="66" w:after="0"/>
        <w:ind w:left="2627" w:right="991" w:hanging="360"/>
        <w:jc w:val="both"/>
        <w:rPr>
          <w:sz w:val="24"/>
        </w:rPr>
      </w:pPr>
      <w:r>
        <w:rPr>
          <w:b/>
          <w:sz w:val="24"/>
        </w:rPr>
        <w:t>Cumplimiento y formalización: </w:t>
      </w:r>
      <w:r>
        <w:rPr>
          <w:sz w:val="24"/>
        </w:rPr>
        <w:t>Un marco de cumplimiento claro</w:t>
      </w:r>
      <w:r>
        <w:rPr>
          <w:spacing w:val="-10"/>
          <w:sz w:val="24"/>
        </w:rPr>
        <w:t> </w:t>
      </w:r>
      <w:r>
        <w:rPr>
          <w:sz w:val="24"/>
        </w:rPr>
        <w:t>y</w:t>
      </w:r>
      <w:r>
        <w:rPr>
          <w:spacing w:val="-8"/>
          <w:sz w:val="24"/>
        </w:rPr>
        <w:t> </w:t>
      </w:r>
      <w:r>
        <w:rPr>
          <w:sz w:val="24"/>
        </w:rPr>
        <w:t>transparente</w:t>
      </w:r>
      <w:r>
        <w:rPr>
          <w:spacing w:val="-10"/>
          <w:sz w:val="24"/>
        </w:rPr>
        <w:t> </w:t>
      </w:r>
      <w:r>
        <w:rPr>
          <w:sz w:val="24"/>
        </w:rPr>
        <w:t>relacionado</w:t>
      </w:r>
      <w:r>
        <w:rPr>
          <w:spacing w:val="-10"/>
          <w:sz w:val="24"/>
        </w:rPr>
        <w:t> </w:t>
      </w:r>
      <w:r>
        <w:rPr>
          <w:sz w:val="24"/>
        </w:rPr>
        <w:t>con</w:t>
      </w:r>
      <w:r>
        <w:rPr>
          <w:spacing w:val="-8"/>
          <w:sz w:val="24"/>
        </w:rPr>
        <w:t> </w:t>
      </w:r>
      <w:r>
        <w:rPr>
          <w:sz w:val="24"/>
        </w:rPr>
        <w:t>el</w:t>
      </w:r>
      <w:r>
        <w:rPr>
          <w:spacing w:val="-11"/>
          <w:sz w:val="24"/>
        </w:rPr>
        <w:t> </w:t>
      </w:r>
      <w:r>
        <w:rPr>
          <w:sz w:val="24"/>
        </w:rPr>
        <w:t>IGV</w:t>
      </w:r>
      <w:r>
        <w:rPr>
          <w:spacing w:val="-9"/>
          <w:sz w:val="24"/>
        </w:rPr>
        <w:t> </w:t>
      </w:r>
      <w:r>
        <w:rPr>
          <w:sz w:val="24"/>
        </w:rPr>
        <w:t>puede</w:t>
      </w:r>
      <w:r>
        <w:rPr>
          <w:spacing w:val="-11"/>
          <w:sz w:val="24"/>
        </w:rPr>
        <w:t> </w:t>
      </w:r>
      <w:r>
        <w:rPr>
          <w:sz w:val="24"/>
        </w:rPr>
        <w:t>incentivar</w:t>
      </w:r>
      <w:r>
        <w:rPr>
          <w:spacing w:val="-10"/>
          <w:sz w:val="24"/>
        </w:rPr>
        <w:t> </w:t>
      </w:r>
      <w:r>
        <w:rPr>
          <w:sz w:val="24"/>
        </w:rPr>
        <w:t>a</w:t>
      </w:r>
      <w:r>
        <w:rPr>
          <w:spacing w:val="-8"/>
          <w:sz w:val="24"/>
        </w:rPr>
        <w:t> </w:t>
      </w:r>
      <w:r>
        <w:rPr>
          <w:sz w:val="24"/>
        </w:rPr>
        <w:t>los comerciantes</w:t>
      </w:r>
      <w:r>
        <w:rPr>
          <w:spacing w:val="-9"/>
          <w:sz w:val="24"/>
        </w:rPr>
        <w:t> </w:t>
      </w:r>
      <w:r>
        <w:rPr>
          <w:sz w:val="24"/>
        </w:rPr>
        <w:t>a</w:t>
      </w:r>
      <w:r>
        <w:rPr>
          <w:spacing w:val="-10"/>
          <w:sz w:val="24"/>
        </w:rPr>
        <w:t> </w:t>
      </w:r>
      <w:r>
        <w:rPr>
          <w:sz w:val="24"/>
        </w:rPr>
        <w:t>formalizarse.</w:t>
      </w:r>
      <w:r>
        <w:rPr>
          <w:spacing w:val="-8"/>
          <w:sz w:val="24"/>
        </w:rPr>
        <w:t> </w:t>
      </w:r>
      <w:r>
        <w:rPr>
          <w:sz w:val="24"/>
        </w:rPr>
        <w:t>La</w:t>
      </w:r>
      <w:r>
        <w:rPr>
          <w:spacing w:val="-10"/>
          <w:sz w:val="24"/>
        </w:rPr>
        <w:t> </w:t>
      </w:r>
      <w:r>
        <w:rPr>
          <w:sz w:val="24"/>
        </w:rPr>
        <w:t>formalización</w:t>
      </w:r>
      <w:r>
        <w:rPr>
          <w:spacing w:val="-10"/>
          <w:sz w:val="24"/>
        </w:rPr>
        <w:t> </w:t>
      </w:r>
      <w:r>
        <w:rPr>
          <w:sz w:val="24"/>
        </w:rPr>
        <w:t>no</w:t>
      </w:r>
      <w:r>
        <w:rPr>
          <w:spacing w:val="-10"/>
          <w:sz w:val="24"/>
        </w:rPr>
        <w:t> </w:t>
      </w:r>
      <w:r>
        <w:rPr>
          <w:sz w:val="24"/>
        </w:rPr>
        <w:t>solo</w:t>
      </w:r>
      <w:r>
        <w:rPr>
          <w:spacing w:val="-10"/>
          <w:sz w:val="24"/>
        </w:rPr>
        <w:t> </w:t>
      </w:r>
      <w:r>
        <w:rPr>
          <w:sz w:val="24"/>
        </w:rPr>
        <w:t>les</w:t>
      </w:r>
      <w:r>
        <w:rPr>
          <w:spacing w:val="-9"/>
          <w:sz w:val="24"/>
        </w:rPr>
        <w:t> </w:t>
      </w:r>
      <w:r>
        <w:rPr>
          <w:sz w:val="24"/>
        </w:rPr>
        <w:t>permite acceder a créditos y financiamiento, sino que también mejora su liquidez al reducir costos operativos y riesgos legales.</w:t>
      </w:r>
    </w:p>
    <w:p>
      <w:pPr>
        <w:pStyle w:val="ListParagraph"/>
        <w:numPr>
          <w:ilvl w:val="4"/>
          <w:numId w:val="11"/>
        </w:numPr>
        <w:tabs>
          <w:tab w:pos="2627" w:val="left" w:leader="none"/>
        </w:tabs>
        <w:spacing w:line="480" w:lineRule="auto" w:before="1" w:after="0"/>
        <w:ind w:left="2627" w:right="991" w:hanging="360"/>
        <w:jc w:val="both"/>
        <w:rPr>
          <w:sz w:val="24"/>
        </w:rPr>
      </w:pPr>
      <w:r>
        <w:rPr>
          <w:b/>
          <w:sz w:val="24"/>
        </w:rPr>
        <w:t>Facilidad en la planificación: </w:t>
      </w:r>
      <w:r>
        <w:rPr>
          <w:sz w:val="24"/>
        </w:rPr>
        <w:t>La comprensión del mecanismo del IGV y su cálculo permite a las empresas planificar mejor su tesorería.</w:t>
      </w:r>
      <w:r>
        <w:rPr>
          <w:spacing w:val="-4"/>
          <w:sz w:val="24"/>
        </w:rPr>
        <w:t> </w:t>
      </w:r>
      <w:r>
        <w:rPr>
          <w:sz w:val="24"/>
        </w:rPr>
        <w:t>Con</w:t>
      </w:r>
      <w:r>
        <w:rPr>
          <w:spacing w:val="-4"/>
          <w:sz w:val="24"/>
        </w:rPr>
        <w:t> </w:t>
      </w:r>
      <w:r>
        <w:rPr>
          <w:sz w:val="24"/>
        </w:rPr>
        <w:t>una</w:t>
      </w:r>
      <w:r>
        <w:rPr>
          <w:spacing w:val="-6"/>
          <w:sz w:val="24"/>
        </w:rPr>
        <w:t> </w:t>
      </w:r>
      <w:r>
        <w:rPr>
          <w:sz w:val="24"/>
        </w:rPr>
        <w:t>previsibilidad</w:t>
      </w:r>
      <w:r>
        <w:rPr>
          <w:spacing w:val="-4"/>
          <w:sz w:val="24"/>
        </w:rPr>
        <w:t> </w:t>
      </w:r>
      <w:r>
        <w:rPr>
          <w:sz w:val="24"/>
        </w:rPr>
        <w:t>en</w:t>
      </w:r>
      <w:r>
        <w:rPr>
          <w:spacing w:val="-4"/>
          <w:sz w:val="24"/>
        </w:rPr>
        <w:t> </w:t>
      </w:r>
      <w:r>
        <w:rPr>
          <w:sz w:val="24"/>
        </w:rPr>
        <w:t>el</w:t>
      </w:r>
      <w:r>
        <w:rPr>
          <w:spacing w:val="-6"/>
          <w:sz w:val="24"/>
        </w:rPr>
        <w:t> </w:t>
      </w:r>
      <w:r>
        <w:rPr>
          <w:sz w:val="24"/>
        </w:rPr>
        <w:t>monto</w:t>
      </w:r>
      <w:r>
        <w:rPr>
          <w:spacing w:val="-4"/>
          <w:sz w:val="24"/>
        </w:rPr>
        <w:t> </w:t>
      </w:r>
      <w:r>
        <w:rPr>
          <w:sz w:val="24"/>
        </w:rPr>
        <w:t>del</w:t>
      </w:r>
      <w:r>
        <w:rPr>
          <w:spacing w:val="-6"/>
          <w:sz w:val="24"/>
        </w:rPr>
        <w:t> </w:t>
      </w:r>
      <w:r>
        <w:rPr>
          <w:sz w:val="24"/>
        </w:rPr>
        <w:t>IGV</w:t>
      </w:r>
      <w:r>
        <w:rPr>
          <w:spacing w:val="-4"/>
          <w:sz w:val="24"/>
        </w:rPr>
        <w:t> </w:t>
      </w:r>
      <w:r>
        <w:rPr>
          <w:sz w:val="24"/>
        </w:rPr>
        <w:t>a</w:t>
      </w:r>
      <w:r>
        <w:rPr>
          <w:spacing w:val="-4"/>
          <w:sz w:val="24"/>
        </w:rPr>
        <w:t> </w:t>
      </w:r>
      <w:r>
        <w:rPr>
          <w:sz w:val="24"/>
        </w:rPr>
        <w:t>pagar,</w:t>
      </w:r>
      <w:r>
        <w:rPr>
          <w:spacing w:val="-6"/>
          <w:sz w:val="24"/>
        </w:rPr>
        <w:t> </w:t>
      </w:r>
      <w:r>
        <w:rPr>
          <w:sz w:val="24"/>
        </w:rPr>
        <w:t>las empresas pueden gestionar sus recursos de manera más eficiente y asegurarse de tener suficiente liquidez para operar.</w:t>
      </w:r>
    </w:p>
    <w:p>
      <w:pPr>
        <w:pStyle w:val="Heading3"/>
        <w:numPr>
          <w:ilvl w:val="3"/>
          <w:numId w:val="11"/>
        </w:numPr>
        <w:tabs>
          <w:tab w:pos="1419" w:val="left" w:leader="none"/>
        </w:tabs>
        <w:spacing w:line="240" w:lineRule="auto" w:before="1" w:after="0"/>
        <w:ind w:left="1419" w:right="0" w:hanging="284"/>
        <w:jc w:val="both"/>
      </w:pPr>
      <w:r>
        <w:rPr/>
        <w:t>Seguridad </w:t>
      </w:r>
      <w:r>
        <w:rPr>
          <w:spacing w:val="-2"/>
        </w:rPr>
        <w:t>Económica</w:t>
      </w:r>
    </w:p>
    <w:p>
      <w:pPr>
        <w:pStyle w:val="BodyText"/>
        <w:spacing w:line="480" w:lineRule="auto" w:before="276"/>
        <w:ind w:left="1419" w:right="994" w:firstLine="720"/>
        <w:jc w:val="both"/>
      </w:pPr>
      <w:r>
        <w:rPr/>
        <w:t>Es la protección de los individuos y las empresas contra riesgos económicos, garantizando que tengan los recursos necesarios para cubrir sus requerimientos y continuar operando de forma eficaz.</w:t>
      </w:r>
    </w:p>
    <w:p>
      <w:pPr>
        <w:pStyle w:val="ListParagraph"/>
        <w:numPr>
          <w:ilvl w:val="4"/>
          <w:numId w:val="11"/>
        </w:numPr>
        <w:tabs>
          <w:tab w:pos="2627" w:val="left" w:leader="none"/>
        </w:tabs>
        <w:spacing w:line="480" w:lineRule="auto" w:before="0" w:after="0"/>
        <w:ind w:left="2627" w:right="990" w:hanging="360"/>
        <w:jc w:val="both"/>
        <w:rPr>
          <w:sz w:val="24"/>
        </w:rPr>
      </w:pPr>
      <w:r>
        <w:rPr>
          <w:b/>
          <w:sz w:val="24"/>
        </w:rPr>
        <w:t>Protección de los derechos del contribuyente: </w:t>
      </w:r>
      <w:r>
        <w:rPr>
          <w:sz w:val="24"/>
        </w:rPr>
        <w:t>La existencia de un sistema tributario claro y bien administrado, como el</w:t>
      </w:r>
      <w:r>
        <w:rPr>
          <w:spacing w:val="-1"/>
          <w:sz w:val="24"/>
        </w:rPr>
        <w:t> </w:t>
      </w:r>
      <w:r>
        <w:rPr>
          <w:sz w:val="24"/>
        </w:rPr>
        <w:t>del IGV, brinda</w:t>
      </w:r>
      <w:r>
        <w:rPr>
          <w:spacing w:val="-2"/>
          <w:sz w:val="24"/>
        </w:rPr>
        <w:t> </w:t>
      </w:r>
      <w:r>
        <w:rPr>
          <w:sz w:val="24"/>
        </w:rPr>
        <w:t>seguridad a</w:t>
      </w:r>
      <w:r>
        <w:rPr>
          <w:spacing w:val="-1"/>
          <w:sz w:val="24"/>
        </w:rPr>
        <w:t> </w:t>
      </w:r>
      <w:r>
        <w:rPr>
          <w:sz w:val="24"/>
        </w:rPr>
        <w:t>los contribuyentes.</w:t>
      </w:r>
      <w:r>
        <w:rPr>
          <w:spacing w:val="-1"/>
          <w:sz w:val="24"/>
        </w:rPr>
        <w:t> </w:t>
      </w:r>
      <w:r>
        <w:rPr>
          <w:sz w:val="24"/>
        </w:rPr>
        <w:t>Con</w:t>
      </w:r>
      <w:r>
        <w:rPr>
          <w:spacing w:val="-1"/>
          <w:sz w:val="24"/>
        </w:rPr>
        <w:t> </w:t>
      </w:r>
      <w:r>
        <w:rPr>
          <w:sz w:val="24"/>
        </w:rPr>
        <w:t>reglas</w:t>
      </w:r>
      <w:r>
        <w:rPr>
          <w:spacing w:val="-1"/>
          <w:sz w:val="24"/>
        </w:rPr>
        <w:t> </w:t>
      </w:r>
      <w:r>
        <w:rPr>
          <w:sz w:val="24"/>
        </w:rPr>
        <w:t>claras sobre las obligaciones fiscales, los contribuyentes pueden tener la certeza de que están cumpliendo con la ley y evitando sanciones.</w:t>
      </w:r>
    </w:p>
    <w:p>
      <w:pPr>
        <w:pStyle w:val="ListParagraph"/>
        <w:numPr>
          <w:ilvl w:val="4"/>
          <w:numId w:val="11"/>
        </w:numPr>
        <w:tabs>
          <w:tab w:pos="2627" w:val="left" w:leader="none"/>
        </w:tabs>
        <w:spacing w:line="480" w:lineRule="auto" w:before="0" w:after="0"/>
        <w:ind w:left="2627" w:right="989" w:hanging="360"/>
        <w:jc w:val="both"/>
        <w:rPr>
          <w:sz w:val="24"/>
        </w:rPr>
      </w:pPr>
      <w:r>
        <w:rPr>
          <w:b/>
          <w:sz w:val="24"/>
        </w:rPr>
        <w:t>Estabilidad en los ingresos: </w:t>
      </w:r>
      <w:r>
        <w:rPr>
          <w:sz w:val="24"/>
        </w:rPr>
        <w:t>La recaudación del IGV contribuye a la estabilidad de las finanzas públicas, lo que permite al Estado ofrecer servicios de calidad y garantizar programas sociales que protejan a las poblaciones vulnerables. Esta seguridad en el ingreso</w:t>
      </w:r>
      <w:r>
        <w:rPr>
          <w:spacing w:val="-15"/>
          <w:sz w:val="24"/>
        </w:rPr>
        <w:t> </w:t>
      </w:r>
      <w:r>
        <w:rPr>
          <w:sz w:val="24"/>
        </w:rPr>
        <w:t>público</w:t>
      </w:r>
      <w:r>
        <w:rPr>
          <w:spacing w:val="-15"/>
          <w:sz w:val="24"/>
        </w:rPr>
        <w:t> </w:t>
      </w:r>
      <w:r>
        <w:rPr>
          <w:sz w:val="24"/>
        </w:rPr>
        <w:t>se</w:t>
      </w:r>
      <w:r>
        <w:rPr>
          <w:spacing w:val="-15"/>
          <w:sz w:val="24"/>
        </w:rPr>
        <w:t> </w:t>
      </w:r>
      <w:r>
        <w:rPr>
          <w:sz w:val="24"/>
        </w:rPr>
        <w:t>traduce</w:t>
      </w:r>
      <w:r>
        <w:rPr>
          <w:spacing w:val="-15"/>
          <w:sz w:val="24"/>
        </w:rPr>
        <w:t> </w:t>
      </w:r>
      <w:r>
        <w:rPr>
          <w:sz w:val="24"/>
        </w:rPr>
        <w:t>en</w:t>
      </w:r>
      <w:r>
        <w:rPr>
          <w:spacing w:val="-15"/>
          <w:sz w:val="24"/>
        </w:rPr>
        <w:t> </w:t>
      </w:r>
      <w:r>
        <w:rPr>
          <w:sz w:val="24"/>
        </w:rPr>
        <w:t>una</w:t>
      </w:r>
      <w:r>
        <w:rPr>
          <w:spacing w:val="-15"/>
          <w:sz w:val="24"/>
        </w:rPr>
        <w:t> </w:t>
      </w:r>
      <w:r>
        <w:rPr>
          <w:sz w:val="24"/>
        </w:rPr>
        <w:t>mayor</w:t>
      </w:r>
      <w:r>
        <w:rPr>
          <w:spacing w:val="-15"/>
          <w:sz w:val="24"/>
        </w:rPr>
        <w:t> </w:t>
      </w:r>
      <w:r>
        <w:rPr>
          <w:sz w:val="24"/>
        </w:rPr>
        <w:t>capacidad</w:t>
      </w:r>
      <w:r>
        <w:rPr>
          <w:spacing w:val="-15"/>
          <w:sz w:val="24"/>
        </w:rPr>
        <w:t> </w:t>
      </w:r>
      <w:r>
        <w:rPr>
          <w:sz w:val="24"/>
        </w:rPr>
        <w:t>del</w:t>
      </w:r>
      <w:r>
        <w:rPr>
          <w:spacing w:val="-15"/>
          <w:sz w:val="24"/>
        </w:rPr>
        <w:t> </w:t>
      </w:r>
      <w:r>
        <w:rPr>
          <w:sz w:val="24"/>
        </w:rPr>
        <w:t>Estado</w:t>
      </w:r>
      <w:r>
        <w:rPr>
          <w:spacing w:val="-15"/>
          <w:sz w:val="24"/>
        </w:rPr>
        <w:t> </w:t>
      </w:r>
      <w:r>
        <w:rPr>
          <w:sz w:val="24"/>
        </w:rPr>
        <w:t>para responder a crisis económicas.</w:t>
      </w:r>
    </w:p>
    <w:p>
      <w:pPr>
        <w:pStyle w:val="ListParagraph"/>
        <w:spacing w:after="0" w:line="480" w:lineRule="auto"/>
        <w:jc w:val="both"/>
        <w:rPr>
          <w:sz w:val="24"/>
        </w:rPr>
        <w:sectPr>
          <w:pgSz w:w="11910" w:h="16840"/>
          <w:pgMar w:header="0" w:footer="693" w:top="1340" w:bottom="880" w:left="1559" w:right="425"/>
        </w:sectPr>
      </w:pPr>
    </w:p>
    <w:p>
      <w:pPr>
        <w:pStyle w:val="BodyText"/>
        <w:spacing w:line="480" w:lineRule="auto" w:before="66"/>
        <w:ind w:left="1561" w:right="992" w:firstLine="720"/>
        <w:jc w:val="both"/>
      </w:pPr>
      <w:r>
        <w:rPr>
          <w:b/>
        </w:rPr>
        <w:t>Confianza en el sistema económico: </w:t>
      </w:r>
      <w:r>
        <w:rPr/>
        <w:t>La opinión de que el régimen fiscal es equitativo. y transparente contribuye a la fe de los actores económicos</w:t>
      </w:r>
      <w:r>
        <w:rPr>
          <w:spacing w:val="-1"/>
        </w:rPr>
        <w:t> </w:t>
      </w:r>
      <w:r>
        <w:rPr/>
        <w:t>en</w:t>
      </w:r>
      <w:r>
        <w:rPr>
          <w:spacing w:val="-2"/>
        </w:rPr>
        <w:t> </w:t>
      </w:r>
      <w:r>
        <w:rPr/>
        <w:t>el</w:t>
      </w:r>
      <w:r>
        <w:rPr>
          <w:spacing w:val="-3"/>
        </w:rPr>
        <w:t> </w:t>
      </w:r>
      <w:r>
        <w:rPr/>
        <w:t>sistema</w:t>
      </w:r>
      <w:r>
        <w:rPr>
          <w:spacing w:val="-2"/>
        </w:rPr>
        <w:t> </w:t>
      </w:r>
      <w:r>
        <w:rPr/>
        <w:t>en</w:t>
      </w:r>
      <w:r>
        <w:rPr>
          <w:spacing w:val="-3"/>
        </w:rPr>
        <w:t> </w:t>
      </w:r>
      <w:r>
        <w:rPr/>
        <w:t>general.</w:t>
      </w:r>
      <w:r>
        <w:rPr>
          <w:spacing w:val="-4"/>
        </w:rPr>
        <w:t> </w:t>
      </w:r>
      <w:r>
        <w:rPr/>
        <w:t>Cuando</w:t>
      </w:r>
      <w:r>
        <w:rPr>
          <w:spacing w:val="-3"/>
        </w:rPr>
        <w:t> </w:t>
      </w:r>
      <w:r>
        <w:rPr/>
        <w:t>los</w:t>
      </w:r>
      <w:r>
        <w:rPr>
          <w:spacing w:val="-3"/>
        </w:rPr>
        <w:t> </w:t>
      </w:r>
      <w:r>
        <w:rPr/>
        <w:t>contribuyentes</w:t>
      </w:r>
      <w:r>
        <w:rPr>
          <w:spacing w:val="-3"/>
        </w:rPr>
        <w:t> </w:t>
      </w:r>
      <w:r>
        <w:rPr/>
        <w:t>ven</w:t>
      </w:r>
      <w:r>
        <w:rPr>
          <w:spacing w:val="-3"/>
        </w:rPr>
        <w:t> </w:t>
      </w:r>
      <w:r>
        <w:rPr/>
        <w:t>que</w:t>
      </w:r>
      <w:r>
        <w:rPr>
          <w:spacing w:val="-3"/>
        </w:rPr>
        <w:t> </w:t>
      </w:r>
      <w:r>
        <w:rPr/>
        <w:t>sus aportes</w:t>
      </w:r>
      <w:r>
        <w:rPr>
          <w:spacing w:val="-5"/>
        </w:rPr>
        <w:t> </w:t>
      </w:r>
      <w:r>
        <w:rPr/>
        <w:t>se</w:t>
      </w:r>
      <w:r>
        <w:rPr>
          <w:spacing w:val="-5"/>
        </w:rPr>
        <w:t> </w:t>
      </w:r>
      <w:r>
        <w:rPr/>
        <w:t>utilizan</w:t>
      </w:r>
      <w:r>
        <w:rPr>
          <w:spacing w:val="-5"/>
        </w:rPr>
        <w:t> </w:t>
      </w:r>
      <w:r>
        <w:rPr/>
        <w:t>de</w:t>
      </w:r>
      <w:r>
        <w:rPr>
          <w:spacing w:val="-4"/>
        </w:rPr>
        <w:t> </w:t>
      </w:r>
      <w:r>
        <w:rPr/>
        <w:t>manera</w:t>
      </w:r>
      <w:r>
        <w:rPr>
          <w:spacing w:val="-4"/>
        </w:rPr>
        <w:t> </w:t>
      </w:r>
      <w:r>
        <w:rPr/>
        <w:t>eficiente</w:t>
      </w:r>
      <w:r>
        <w:rPr>
          <w:spacing w:val="-7"/>
        </w:rPr>
        <w:t> </w:t>
      </w:r>
      <w:r>
        <w:rPr/>
        <w:t>y</w:t>
      </w:r>
      <w:r>
        <w:rPr>
          <w:spacing w:val="-3"/>
        </w:rPr>
        <w:t> </w:t>
      </w:r>
      <w:r>
        <w:rPr/>
        <w:t>transparente,</w:t>
      </w:r>
      <w:r>
        <w:rPr>
          <w:spacing w:val="-6"/>
        </w:rPr>
        <w:t> </w:t>
      </w:r>
      <w:r>
        <w:rPr/>
        <w:t>se</w:t>
      </w:r>
      <w:r>
        <w:rPr>
          <w:spacing w:val="-3"/>
        </w:rPr>
        <w:t> </w:t>
      </w:r>
      <w:r>
        <w:rPr/>
        <w:t>sienten</w:t>
      </w:r>
      <w:r>
        <w:rPr>
          <w:spacing w:val="-5"/>
        </w:rPr>
        <w:t> </w:t>
      </w:r>
      <w:r>
        <w:rPr/>
        <w:t>más</w:t>
      </w:r>
      <w:r>
        <w:rPr>
          <w:spacing w:val="-5"/>
        </w:rPr>
        <w:t> </w:t>
      </w:r>
      <w:r>
        <w:rPr/>
        <w:t>seguros al invertir y consumir, lo que fortalece la economía en su conjunto.</w:t>
      </w:r>
    </w:p>
    <w:p>
      <w:pPr>
        <w:pStyle w:val="Heading4"/>
        <w:numPr>
          <w:ilvl w:val="2"/>
          <w:numId w:val="10"/>
        </w:numPr>
        <w:tabs>
          <w:tab w:pos="1459" w:val="left" w:leader="none"/>
        </w:tabs>
        <w:spacing w:line="240" w:lineRule="auto" w:before="1" w:after="0"/>
        <w:ind w:left="1459" w:right="0" w:hanging="608"/>
        <w:jc w:val="both"/>
      </w:pPr>
      <w:bookmarkStart w:name="_bookmark30" w:id="31"/>
      <w:bookmarkEnd w:id="31"/>
      <w:r>
        <w:rPr>
          <w:b w:val="0"/>
          <w:i w:val="0"/>
        </w:rPr>
      </w:r>
      <w:r>
        <w:rPr/>
        <w:t>Percepción</w:t>
      </w:r>
      <w:r>
        <w:rPr>
          <w:spacing w:val="-4"/>
        </w:rPr>
        <w:t> </w:t>
      </w:r>
      <w:r>
        <w:rPr>
          <w:spacing w:val="-2"/>
        </w:rPr>
        <w:t>económica</w:t>
      </w:r>
    </w:p>
    <w:p>
      <w:pPr>
        <w:pStyle w:val="BodyText"/>
        <w:rPr>
          <w:b/>
          <w:i/>
        </w:rPr>
      </w:pPr>
    </w:p>
    <w:p>
      <w:pPr>
        <w:pStyle w:val="BodyText"/>
        <w:spacing w:line="480" w:lineRule="auto"/>
        <w:ind w:left="1419" w:right="991" w:firstLine="780"/>
        <w:jc w:val="both"/>
      </w:pPr>
      <w:r>
        <w:rPr/>
        <w:t>Machinea</w:t>
      </w:r>
      <w:r>
        <w:rPr>
          <w:spacing w:val="-11"/>
        </w:rPr>
        <w:t> </w:t>
      </w:r>
      <w:r>
        <w:rPr/>
        <w:t>y</w:t>
      </w:r>
      <w:r>
        <w:rPr>
          <w:spacing w:val="-10"/>
        </w:rPr>
        <w:t> </w:t>
      </w:r>
      <w:r>
        <w:rPr/>
        <w:t>Cetrángolo</w:t>
      </w:r>
      <w:r>
        <w:rPr>
          <w:spacing w:val="-10"/>
        </w:rPr>
        <w:t> </w:t>
      </w:r>
      <w:r>
        <w:rPr/>
        <w:t>(2007)</w:t>
      </w:r>
      <w:r>
        <w:rPr>
          <w:spacing w:val="-9"/>
        </w:rPr>
        <w:t> </w:t>
      </w:r>
      <w:r>
        <w:rPr/>
        <w:t>definen</w:t>
      </w:r>
      <w:r>
        <w:rPr>
          <w:spacing w:val="-10"/>
        </w:rPr>
        <w:t> </w:t>
      </w:r>
      <w:r>
        <w:rPr/>
        <w:t>la</w:t>
      </w:r>
      <w:r>
        <w:rPr>
          <w:spacing w:val="-11"/>
        </w:rPr>
        <w:t> </w:t>
      </w:r>
      <w:r>
        <w:rPr/>
        <w:t>percepción</w:t>
      </w:r>
      <w:r>
        <w:rPr>
          <w:spacing w:val="-10"/>
        </w:rPr>
        <w:t> </w:t>
      </w:r>
      <w:r>
        <w:rPr/>
        <w:t>económica</w:t>
      </w:r>
      <w:r>
        <w:rPr>
          <w:spacing w:val="-11"/>
        </w:rPr>
        <w:t> </w:t>
      </w:r>
      <w:r>
        <w:rPr/>
        <w:t>como la valoración subjetiva que los agentes económicos realizan sobre los efectos de</w:t>
      </w:r>
      <w:r>
        <w:rPr>
          <w:spacing w:val="-3"/>
        </w:rPr>
        <w:t> </w:t>
      </w:r>
      <w:r>
        <w:rPr/>
        <w:t>los</w:t>
      </w:r>
      <w:r>
        <w:rPr>
          <w:spacing w:val="-2"/>
        </w:rPr>
        <w:t> </w:t>
      </w:r>
      <w:r>
        <w:rPr/>
        <w:t>tributos</w:t>
      </w:r>
      <w:r>
        <w:rPr>
          <w:spacing w:val="-2"/>
        </w:rPr>
        <w:t> </w:t>
      </w:r>
      <w:r>
        <w:rPr/>
        <w:t>en</w:t>
      </w:r>
      <w:r>
        <w:rPr>
          <w:spacing w:val="-3"/>
        </w:rPr>
        <w:t> </w:t>
      </w:r>
      <w:r>
        <w:rPr/>
        <w:t>su</w:t>
      </w:r>
      <w:r>
        <w:rPr>
          <w:spacing w:val="-4"/>
        </w:rPr>
        <w:t> </w:t>
      </w:r>
      <w:r>
        <w:rPr/>
        <w:t>actividad</w:t>
      </w:r>
      <w:r>
        <w:rPr>
          <w:spacing w:val="-3"/>
        </w:rPr>
        <w:t> </w:t>
      </w:r>
      <w:r>
        <w:rPr/>
        <w:t>comercial,</w:t>
      </w:r>
      <w:r>
        <w:rPr>
          <w:spacing w:val="-1"/>
        </w:rPr>
        <w:t> </w:t>
      </w:r>
      <w:r>
        <w:rPr/>
        <w:t>liquidez</w:t>
      </w:r>
      <w:r>
        <w:rPr>
          <w:spacing w:val="-3"/>
        </w:rPr>
        <w:t> </w:t>
      </w:r>
      <w:r>
        <w:rPr/>
        <w:t>y</w:t>
      </w:r>
      <w:r>
        <w:rPr>
          <w:spacing w:val="-3"/>
        </w:rPr>
        <w:t> </w:t>
      </w:r>
      <w:r>
        <w:rPr/>
        <w:t>capacidad</w:t>
      </w:r>
      <w:r>
        <w:rPr>
          <w:spacing w:val="-1"/>
        </w:rPr>
        <w:t> </w:t>
      </w:r>
      <w:r>
        <w:rPr/>
        <w:t>de</w:t>
      </w:r>
      <w:r>
        <w:rPr>
          <w:spacing w:val="-3"/>
        </w:rPr>
        <w:t> </w:t>
      </w:r>
      <w:r>
        <w:rPr/>
        <w:t>crecimiento. Esta</w:t>
      </w:r>
      <w:r>
        <w:rPr>
          <w:spacing w:val="-10"/>
        </w:rPr>
        <w:t> </w:t>
      </w:r>
      <w:r>
        <w:rPr/>
        <w:t>percepción</w:t>
      </w:r>
      <w:r>
        <w:rPr>
          <w:spacing w:val="-9"/>
        </w:rPr>
        <w:t> </w:t>
      </w:r>
      <w:r>
        <w:rPr/>
        <w:t>depende</w:t>
      </w:r>
      <w:r>
        <w:rPr>
          <w:spacing w:val="-10"/>
        </w:rPr>
        <w:t> </w:t>
      </w:r>
      <w:r>
        <w:rPr/>
        <w:t>en</w:t>
      </w:r>
      <w:r>
        <w:rPr>
          <w:spacing w:val="-10"/>
        </w:rPr>
        <w:t> </w:t>
      </w:r>
      <w:r>
        <w:rPr/>
        <w:t>gran</w:t>
      </w:r>
      <w:r>
        <w:rPr>
          <w:spacing w:val="-9"/>
        </w:rPr>
        <w:t> </w:t>
      </w:r>
      <w:r>
        <w:rPr/>
        <w:t>medida</w:t>
      </w:r>
      <w:r>
        <w:rPr>
          <w:spacing w:val="-10"/>
        </w:rPr>
        <w:t> </w:t>
      </w:r>
      <w:r>
        <w:rPr/>
        <w:t>de</w:t>
      </w:r>
      <w:r>
        <w:rPr>
          <w:spacing w:val="-10"/>
        </w:rPr>
        <w:t> </w:t>
      </w:r>
      <w:r>
        <w:rPr/>
        <w:t>cómo</w:t>
      </w:r>
      <w:r>
        <w:rPr>
          <w:spacing w:val="-9"/>
        </w:rPr>
        <w:t> </w:t>
      </w:r>
      <w:r>
        <w:rPr/>
        <w:t>los</w:t>
      </w:r>
      <w:r>
        <w:rPr>
          <w:spacing w:val="-9"/>
        </w:rPr>
        <w:t> </w:t>
      </w:r>
      <w:r>
        <w:rPr/>
        <w:t>comerciantes</w:t>
      </w:r>
      <w:r>
        <w:rPr>
          <w:spacing w:val="-9"/>
        </w:rPr>
        <w:t> </w:t>
      </w:r>
      <w:r>
        <w:rPr/>
        <w:t>asimilan</w:t>
      </w:r>
      <w:r>
        <w:rPr>
          <w:spacing w:val="-9"/>
        </w:rPr>
        <w:t> </w:t>
      </w:r>
      <w:r>
        <w:rPr/>
        <w:t>el impacto del sistema fiscal sobre su solidez financiera y su habilidad para satisfacer las obligaciones tributarias.</w:t>
      </w:r>
    </w:p>
    <w:p>
      <w:pPr>
        <w:pStyle w:val="BodyText"/>
        <w:spacing w:line="480" w:lineRule="auto" w:before="1"/>
        <w:ind w:left="1419" w:right="994" w:firstLine="720"/>
        <w:jc w:val="both"/>
      </w:pPr>
      <w:r>
        <w:rPr/>
        <w:t>"La percepción económica se relaciona con la manera en que los individuos interpretan y reaccionan ante su entorno económico, influenciada por la información disponible, experiencias pasadas y expectativas futuras." (Ferreira &amp; de Almeida 2020)</w:t>
      </w:r>
    </w:p>
    <w:p>
      <w:pPr>
        <w:pStyle w:val="BodyText"/>
        <w:spacing w:line="480" w:lineRule="auto"/>
        <w:ind w:left="1419" w:right="990" w:firstLine="720"/>
        <w:jc w:val="both"/>
      </w:pPr>
      <w:r>
        <w:rPr/>
        <w:t>"La percepción económica es un fenómeno que influye en el comportamiento de consumo y ahorro, reflejando la fe de los compradores en la economía." (Rojas, C. E. 2019)</w:t>
      </w:r>
    </w:p>
    <w:p>
      <w:pPr>
        <w:pStyle w:val="BodyText"/>
        <w:spacing w:line="480" w:lineRule="auto"/>
        <w:ind w:left="1419" w:right="989" w:firstLine="720"/>
        <w:jc w:val="right"/>
      </w:pPr>
      <w:r>
        <w:rPr/>
        <w:t>“Los</w:t>
      </w:r>
      <w:r>
        <w:rPr>
          <w:spacing w:val="40"/>
        </w:rPr>
        <w:t> </w:t>
      </w:r>
      <w:r>
        <w:rPr/>
        <w:t>individuos</w:t>
      </w:r>
      <w:r>
        <w:rPr>
          <w:spacing w:val="40"/>
        </w:rPr>
        <w:t> </w:t>
      </w:r>
      <w:r>
        <w:rPr/>
        <w:t>forman</w:t>
      </w:r>
      <w:r>
        <w:rPr>
          <w:spacing w:val="40"/>
        </w:rPr>
        <w:t> </w:t>
      </w:r>
      <w:r>
        <w:rPr/>
        <w:t>sus</w:t>
      </w:r>
      <w:r>
        <w:rPr>
          <w:spacing w:val="40"/>
        </w:rPr>
        <w:t> </w:t>
      </w:r>
      <w:r>
        <w:rPr/>
        <w:t>percepciones</w:t>
      </w:r>
      <w:r>
        <w:rPr>
          <w:spacing w:val="40"/>
        </w:rPr>
        <w:t> </w:t>
      </w:r>
      <w:r>
        <w:rPr/>
        <w:t>económicas</w:t>
      </w:r>
      <w:r>
        <w:rPr>
          <w:spacing w:val="40"/>
        </w:rPr>
        <w:t> </w:t>
      </w:r>
      <w:r>
        <w:rPr/>
        <w:t>a</w:t>
      </w:r>
      <w:r>
        <w:rPr>
          <w:spacing w:val="40"/>
        </w:rPr>
        <w:t> </w:t>
      </w:r>
      <w:r>
        <w:rPr/>
        <w:t>partir</w:t>
      </w:r>
      <w:r>
        <w:rPr>
          <w:spacing w:val="40"/>
        </w:rPr>
        <w:t> </w:t>
      </w:r>
      <w:r>
        <w:rPr/>
        <w:t>de</w:t>
      </w:r>
      <w:r>
        <w:rPr>
          <w:spacing w:val="40"/>
        </w:rPr>
        <w:t> </w:t>
      </w:r>
      <w:r>
        <w:rPr/>
        <w:t>información</w:t>
      </w:r>
      <w:r>
        <w:rPr>
          <w:spacing w:val="80"/>
        </w:rPr>
        <w:t> </w:t>
      </w:r>
      <w:r>
        <w:rPr/>
        <w:t>macroeconómica,</w:t>
      </w:r>
      <w:r>
        <w:rPr>
          <w:spacing w:val="80"/>
        </w:rPr>
        <w:t> </w:t>
      </w:r>
      <w:r>
        <w:rPr/>
        <w:t>experiencias</w:t>
      </w:r>
      <w:r>
        <w:rPr>
          <w:spacing w:val="80"/>
        </w:rPr>
        <w:t> </w:t>
      </w:r>
      <w:r>
        <w:rPr/>
        <w:t>personales</w:t>
      </w:r>
      <w:r>
        <w:rPr>
          <w:spacing w:val="80"/>
        </w:rPr>
        <w:t> </w:t>
      </w:r>
      <w:r>
        <w:rPr/>
        <w:t>y</w:t>
      </w:r>
      <w:r>
        <w:rPr>
          <w:spacing w:val="80"/>
        </w:rPr>
        <w:t> </w:t>
      </w:r>
      <w:r>
        <w:rPr/>
        <w:t>los</w:t>
      </w:r>
      <w:r>
        <w:rPr>
          <w:spacing w:val="80"/>
        </w:rPr>
        <w:t> </w:t>
      </w:r>
      <w:r>
        <w:rPr/>
        <w:t>contextos</w:t>
      </w:r>
      <w:r>
        <w:rPr>
          <w:spacing w:val="40"/>
        </w:rPr>
        <w:t> </w:t>
      </w:r>
      <w:r>
        <w:rPr/>
        <w:t>socioeconómicos</w:t>
      </w:r>
      <w:r>
        <w:rPr>
          <w:spacing w:val="-6"/>
        </w:rPr>
        <w:t> </w:t>
      </w:r>
      <w:r>
        <w:rPr/>
        <w:t>en</w:t>
      </w:r>
      <w:r>
        <w:rPr>
          <w:spacing w:val="-7"/>
        </w:rPr>
        <w:t> </w:t>
      </w:r>
      <w:r>
        <w:rPr/>
        <w:t>los</w:t>
      </w:r>
      <w:r>
        <w:rPr>
          <w:spacing w:val="-6"/>
        </w:rPr>
        <w:t> </w:t>
      </w:r>
      <w:r>
        <w:rPr/>
        <w:t>que</w:t>
      </w:r>
      <w:r>
        <w:rPr>
          <w:spacing w:val="-7"/>
        </w:rPr>
        <w:t> </w:t>
      </w:r>
      <w:r>
        <w:rPr/>
        <w:t>se</w:t>
      </w:r>
      <w:r>
        <w:rPr>
          <w:spacing w:val="-6"/>
        </w:rPr>
        <w:t> </w:t>
      </w:r>
      <w:r>
        <w:rPr/>
        <w:t>encuentran."</w:t>
      </w:r>
      <w:r>
        <w:rPr>
          <w:spacing w:val="-7"/>
        </w:rPr>
        <w:t> </w:t>
      </w:r>
      <w:r>
        <w:rPr/>
        <w:t>(D’Acunto,</w:t>
      </w:r>
      <w:r>
        <w:rPr>
          <w:spacing w:val="-6"/>
        </w:rPr>
        <w:t> </w:t>
      </w:r>
      <w:r>
        <w:rPr/>
        <w:t>F.,</w:t>
      </w:r>
      <w:r>
        <w:rPr>
          <w:spacing w:val="-8"/>
        </w:rPr>
        <w:t> </w:t>
      </w:r>
      <w:r>
        <w:rPr/>
        <w:t>&amp;</w:t>
      </w:r>
      <w:r>
        <w:rPr>
          <w:spacing w:val="-9"/>
        </w:rPr>
        <w:t> </w:t>
      </w:r>
      <w:r>
        <w:rPr/>
        <w:t>Pagel,</w:t>
      </w:r>
      <w:r>
        <w:rPr>
          <w:spacing w:val="-6"/>
        </w:rPr>
        <w:t> </w:t>
      </w:r>
      <w:r>
        <w:rPr/>
        <w:t>M.</w:t>
      </w:r>
      <w:r>
        <w:rPr>
          <w:spacing w:val="-6"/>
        </w:rPr>
        <w:t> </w:t>
      </w:r>
      <w:r>
        <w:rPr/>
        <w:t>2021) “La percepción económica incluye tanto la evaluación subjetiva de la situación</w:t>
      </w:r>
      <w:r>
        <w:rPr>
          <w:spacing w:val="55"/>
        </w:rPr>
        <w:t> </w:t>
      </w:r>
      <w:r>
        <w:rPr/>
        <w:t>económica</w:t>
      </w:r>
      <w:r>
        <w:rPr>
          <w:spacing w:val="57"/>
        </w:rPr>
        <w:t> </w:t>
      </w:r>
      <w:r>
        <w:rPr/>
        <w:t>actual</w:t>
      </w:r>
      <w:r>
        <w:rPr>
          <w:spacing w:val="55"/>
        </w:rPr>
        <w:t> </w:t>
      </w:r>
      <w:r>
        <w:rPr/>
        <w:t>como</w:t>
      </w:r>
      <w:r>
        <w:rPr>
          <w:spacing w:val="55"/>
        </w:rPr>
        <w:t> </w:t>
      </w:r>
      <w:r>
        <w:rPr/>
        <w:t>las</w:t>
      </w:r>
      <w:r>
        <w:rPr>
          <w:spacing w:val="56"/>
        </w:rPr>
        <w:t> </w:t>
      </w:r>
      <w:r>
        <w:rPr/>
        <w:t>expectativas</w:t>
      </w:r>
      <w:r>
        <w:rPr>
          <w:spacing w:val="55"/>
        </w:rPr>
        <w:t> </w:t>
      </w:r>
      <w:r>
        <w:rPr/>
        <w:t>sobre</w:t>
      </w:r>
      <w:r>
        <w:rPr>
          <w:spacing w:val="55"/>
        </w:rPr>
        <w:t> </w:t>
      </w:r>
      <w:r>
        <w:rPr/>
        <w:t>el</w:t>
      </w:r>
      <w:r>
        <w:rPr>
          <w:spacing w:val="57"/>
        </w:rPr>
        <w:t> </w:t>
      </w:r>
      <w:r>
        <w:rPr/>
        <w:t>futuro,</w:t>
      </w:r>
      <w:r>
        <w:rPr>
          <w:spacing w:val="55"/>
        </w:rPr>
        <w:t> </w:t>
      </w:r>
      <w:r>
        <w:rPr/>
        <w:t>lo</w:t>
      </w:r>
      <w:r>
        <w:rPr>
          <w:spacing w:val="56"/>
        </w:rPr>
        <w:t> </w:t>
      </w:r>
      <w:r>
        <w:rPr>
          <w:spacing w:val="-5"/>
        </w:rPr>
        <w:t>que</w:t>
      </w:r>
    </w:p>
    <w:p>
      <w:pPr>
        <w:pStyle w:val="BodyText"/>
        <w:spacing w:line="274" w:lineRule="exact"/>
        <w:ind w:left="165"/>
        <w:jc w:val="center"/>
      </w:pPr>
      <w:r>
        <w:rPr/>
        <w:t>influye</w:t>
      </w:r>
      <w:r>
        <w:rPr>
          <w:spacing w:val="-3"/>
        </w:rPr>
        <w:t> </w:t>
      </w:r>
      <w:r>
        <w:rPr/>
        <w:t>en</w:t>
      </w:r>
      <w:r>
        <w:rPr>
          <w:spacing w:val="1"/>
        </w:rPr>
        <w:t> </w:t>
      </w:r>
      <w:r>
        <w:rPr/>
        <w:t>las</w:t>
      </w:r>
      <w:r>
        <w:rPr>
          <w:spacing w:val="-1"/>
        </w:rPr>
        <w:t> </w:t>
      </w:r>
      <w:r>
        <w:rPr/>
        <w:t>decisiones de</w:t>
      </w:r>
      <w:r>
        <w:rPr>
          <w:spacing w:val="-1"/>
        </w:rPr>
        <w:t> </w:t>
      </w:r>
      <w:r>
        <w:rPr/>
        <w:t>gasto y ahorro."</w:t>
      </w:r>
      <w:r>
        <w:rPr>
          <w:spacing w:val="-1"/>
        </w:rPr>
        <w:t> </w:t>
      </w:r>
      <w:r>
        <w:rPr/>
        <w:t>(Mian, A.</w:t>
      </w:r>
      <w:r>
        <w:rPr>
          <w:spacing w:val="-1"/>
        </w:rPr>
        <w:t> </w:t>
      </w:r>
      <w:r>
        <w:rPr/>
        <w:t>R., &amp;</w:t>
      </w:r>
      <w:r>
        <w:rPr>
          <w:spacing w:val="-1"/>
        </w:rPr>
        <w:t> </w:t>
      </w:r>
      <w:r>
        <w:rPr/>
        <w:t>Sufi, A. </w:t>
      </w:r>
      <w:r>
        <w:rPr>
          <w:spacing w:val="-2"/>
        </w:rPr>
        <w:t>2018)</w:t>
      </w:r>
    </w:p>
    <w:p>
      <w:pPr>
        <w:pStyle w:val="BodyText"/>
        <w:spacing w:after="0" w:line="274" w:lineRule="exact"/>
        <w:jc w:val="center"/>
        <w:sectPr>
          <w:pgSz w:w="11910" w:h="16840"/>
          <w:pgMar w:header="0" w:footer="693" w:top="1340" w:bottom="880" w:left="1559" w:right="425"/>
        </w:sectPr>
      </w:pPr>
    </w:p>
    <w:p>
      <w:pPr>
        <w:pStyle w:val="Heading3"/>
        <w:spacing w:before="66"/>
        <w:ind w:left="1419"/>
        <w:jc w:val="both"/>
      </w:pPr>
      <w:r>
        <w:rPr/>
        <w:t>Importancia</w:t>
      </w:r>
      <w:r>
        <w:rPr>
          <w:spacing w:val="-1"/>
        </w:rPr>
        <w:t> </w:t>
      </w:r>
      <w:r>
        <w:rPr/>
        <w:t>de</w:t>
      </w:r>
      <w:r>
        <w:rPr>
          <w:spacing w:val="-1"/>
        </w:rPr>
        <w:t> </w:t>
      </w:r>
      <w:r>
        <w:rPr/>
        <w:t>la</w:t>
      </w:r>
      <w:r>
        <w:rPr>
          <w:spacing w:val="-1"/>
        </w:rPr>
        <w:t> </w:t>
      </w:r>
      <w:r>
        <w:rPr>
          <w:spacing w:val="-2"/>
        </w:rPr>
        <w:t>percepción</w:t>
      </w:r>
    </w:p>
    <w:p>
      <w:pPr>
        <w:pStyle w:val="BodyText"/>
        <w:rPr>
          <w:b/>
        </w:rPr>
      </w:pPr>
    </w:p>
    <w:p>
      <w:pPr>
        <w:pStyle w:val="BodyText"/>
        <w:spacing w:line="480" w:lineRule="auto"/>
        <w:ind w:left="1419" w:right="989" w:firstLine="720"/>
        <w:jc w:val="both"/>
      </w:pPr>
      <w:r>
        <w:rPr/>
        <w:t>La</w:t>
      </w:r>
      <w:r>
        <w:rPr>
          <w:spacing w:val="-9"/>
        </w:rPr>
        <w:t> </w:t>
      </w:r>
      <w:r>
        <w:rPr/>
        <w:t>percepción</w:t>
      </w:r>
      <w:r>
        <w:rPr>
          <w:spacing w:val="-7"/>
        </w:rPr>
        <w:t> </w:t>
      </w:r>
      <w:r>
        <w:rPr/>
        <w:t>económica</w:t>
      </w:r>
      <w:r>
        <w:rPr>
          <w:spacing w:val="-8"/>
        </w:rPr>
        <w:t> </w:t>
      </w:r>
      <w:r>
        <w:rPr/>
        <w:t>se</w:t>
      </w:r>
      <w:r>
        <w:rPr>
          <w:spacing w:val="-7"/>
        </w:rPr>
        <w:t> </w:t>
      </w:r>
      <w:r>
        <w:rPr/>
        <w:t>relaciona</w:t>
      </w:r>
      <w:r>
        <w:rPr>
          <w:spacing w:val="-8"/>
        </w:rPr>
        <w:t> </w:t>
      </w:r>
      <w:r>
        <w:rPr/>
        <w:t>con</w:t>
      </w:r>
      <w:r>
        <w:rPr>
          <w:spacing w:val="-7"/>
        </w:rPr>
        <w:t> </w:t>
      </w:r>
      <w:r>
        <w:rPr/>
        <w:t>varios</w:t>
      </w:r>
      <w:r>
        <w:rPr>
          <w:spacing w:val="-7"/>
        </w:rPr>
        <w:t> </w:t>
      </w:r>
      <w:r>
        <w:rPr/>
        <w:t>modelos</w:t>
      </w:r>
      <w:r>
        <w:rPr>
          <w:spacing w:val="-7"/>
        </w:rPr>
        <w:t> </w:t>
      </w:r>
      <w:r>
        <w:rPr/>
        <w:t>teóricos</w:t>
      </w:r>
      <w:r>
        <w:rPr>
          <w:spacing w:val="-7"/>
        </w:rPr>
        <w:t> </w:t>
      </w:r>
      <w:r>
        <w:rPr/>
        <w:t>que ayudan a explicar cómo las personas interpretan y reaccionan a su entorno económico. Aquí se presentan algunos de los modelos más relevantes:</w:t>
      </w:r>
    </w:p>
    <w:p>
      <w:pPr>
        <w:pStyle w:val="Heading3"/>
        <w:numPr>
          <w:ilvl w:val="3"/>
          <w:numId w:val="10"/>
        </w:numPr>
        <w:tabs>
          <w:tab w:pos="1419" w:val="left" w:leader="none"/>
        </w:tabs>
        <w:spacing w:line="240" w:lineRule="auto" w:before="1" w:after="0"/>
        <w:ind w:left="1419" w:right="0" w:hanging="360"/>
        <w:jc w:val="both"/>
      </w:pPr>
      <w:r>
        <w:rPr/>
        <w:t>Teoría</w:t>
      </w:r>
      <w:r>
        <w:rPr>
          <w:spacing w:val="-2"/>
        </w:rPr>
        <w:t> </w:t>
      </w:r>
      <w:r>
        <w:rPr/>
        <w:t>de la</w:t>
      </w:r>
      <w:r>
        <w:rPr>
          <w:spacing w:val="-1"/>
        </w:rPr>
        <w:t> </w:t>
      </w:r>
      <w:r>
        <w:rPr/>
        <w:t>utilidad </w:t>
      </w:r>
      <w:r>
        <w:rPr>
          <w:spacing w:val="-2"/>
        </w:rPr>
        <w:t>esperada</w:t>
      </w:r>
    </w:p>
    <w:p>
      <w:pPr>
        <w:pStyle w:val="BodyText"/>
        <w:spacing w:line="480" w:lineRule="auto" w:before="276"/>
        <w:ind w:left="1419" w:right="987"/>
        <w:jc w:val="both"/>
      </w:pPr>
      <w:r>
        <w:rPr>
          <w:b/>
        </w:rPr>
        <w:t>Descripción: </w:t>
      </w:r>
      <w:r>
        <w:rPr/>
        <w:t>Este modelo establece que las decisiones económicas se basan en la optimización de la utilidad anticipada. Ellos evalúan las opciones en función de la utilidad que cada resultado les proporciona, considerando la probabilidad de que esos resultados ocurran (Von Neumann, J., &amp; Morgenstern, O. 1944).</w:t>
      </w:r>
    </w:p>
    <w:p>
      <w:pPr>
        <w:pStyle w:val="Heading3"/>
        <w:numPr>
          <w:ilvl w:val="3"/>
          <w:numId w:val="10"/>
        </w:numPr>
        <w:tabs>
          <w:tab w:pos="1419" w:val="left" w:leader="none"/>
        </w:tabs>
        <w:spacing w:line="240" w:lineRule="auto" w:before="0" w:after="0"/>
        <w:ind w:left="1419" w:right="0" w:hanging="284"/>
        <w:jc w:val="both"/>
      </w:pPr>
      <w:r>
        <w:rPr/>
        <w:t>Teoría</w:t>
      </w:r>
      <w:r>
        <w:rPr>
          <w:spacing w:val="-3"/>
        </w:rPr>
        <w:t> </w:t>
      </w:r>
      <w:r>
        <w:rPr/>
        <w:t>de</w:t>
      </w:r>
      <w:r>
        <w:rPr>
          <w:spacing w:val="-2"/>
        </w:rPr>
        <w:t> </w:t>
      </w:r>
      <w:r>
        <w:rPr/>
        <w:t>la</w:t>
      </w:r>
      <w:r>
        <w:rPr>
          <w:spacing w:val="-1"/>
        </w:rPr>
        <w:t> </w:t>
      </w:r>
      <w:r>
        <w:rPr/>
        <w:t>Perspectiva</w:t>
      </w:r>
      <w:r>
        <w:rPr>
          <w:spacing w:val="-2"/>
        </w:rPr>
        <w:t> </w:t>
      </w:r>
      <w:r>
        <w:rPr/>
        <w:t>(Prospect</w:t>
      </w:r>
      <w:r>
        <w:rPr>
          <w:spacing w:val="-2"/>
        </w:rPr>
        <w:t> Theory)</w:t>
      </w:r>
    </w:p>
    <w:p>
      <w:pPr>
        <w:pStyle w:val="BodyText"/>
        <w:rPr>
          <w:b/>
        </w:rPr>
      </w:pPr>
    </w:p>
    <w:p>
      <w:pPr>
        <w:pStyle w:val="BodyText"/>
        <w:spacing w:line="480" w:lineRule="auto" w:before="1"/>
        <w:ind w:left="1419" w:right="994"/>
        <w:jc w:val="both"/>
      </w:pPr>
      <w:r>
        <w:rPr>
          <w:b/>
        </w:rPr>
        <w:t>Descripción: </w:t>
      </w:r>
      <w:r>
        <w:rPr/>
        <w:t>Este modelo explica cómo los individuos hacen elecciones en circunstancias de riesgo, mostrando que evalúan los beneficios y las pérdidas de forma desigual, siendo más sensibles a las pérdidas que a las ganancias.</w:t>
      </w:r>
    </w:p>
    <w:p>
      <w:pPr>
        <w:pStyle w:val="Heading3"/>
        <w:numPr>
          <w:ilvl w:val="3"/>
          <w:numId w:val="10"/>
        </w:numPr>
        <w:tabs>
          <w:tab w:pos="1419" w:val="left" w:leader="none"/>
        </w:tabs>
        <w:spacing w:line="240" w:lineRule="auto" w:before="0" w:after="0"/>
        <w:ind w:left="1419" w:right="0" w:hanging="284"/>
        <w:jc w:val="both"/>
      </w:pPr>
      <w:r>
        <w:rPr/>
        <w:t>Modelo</w:t>
      </w:r>
      <w:r>
        <w:rPr>
          <w:spacing w:val="-1"/>
        </w:rPr>
        <w:t> </w:t>
      </w:r>
      <w:r>
        <w:rPr/>
        <w:t>de</w:t>
      </w:r>
      <w:r>
        <w:rPr>
          <w:spacing w:val="-1"/>
        </w:rPr>
        <w:t> </w:t>
      </w:r>
      <w:r>
        <w:rPr/>
        <w:t>Expectativas </w:t>
      </w:r>
      <w:r>
        <w:rPr>
          <w:spacing w:val="-2"/>
        </w:rPr>
        <w:t>Adaptativas</w:t>
      </w:r>
    </w:p>
    <w:p>
      <w:pPr>
        <w:pStyle w:val="BodyText"/>
        <w:rPr>
          <w:b/>
        </w:rPr>
      </w:pPr>
    </w:p>
    <w:p>
      <w:pPr>
        <w:pStyle w:val="BodyText"/>
        <w:spacing w:line="480" w:lineRule="auto"/>
        <w:ind w:left="1419" w:right="994"/>
        <w:jc w:val="both"/>
      </w:pPr>
      <w:r>
        <w:rPr>
          <w:b/>
        </w:rPr>
        <w:t>Descripción: </w:t>
      </w:r>
      <w:r>
        <w:rPr/>
        <w:t>Este modelo sugiere que las previsiones de los actores económicos se ajustan gradualmente a medida que obtienen nueva información, lo que puede influir en la percepción y comportamiento económico (Cagan, P. 1956).</w:t>
      </w:r>
    </w:p>
    <w:p>
      <w:pPr>
        <w:pStyle w:val="Heading3"/>
        <w:numPr>
          <w:ilvl w:val="3"/>
          <w:numId w:val="10"/>
        </w:numPr>
        <w:tabs>
          <w:tab w:pos="1419" w:val="left" w:leader="none"/>
        </w:tabs>
        <w:spacing w:line="240" w:lineRule="auto" w:before="0" w:after="0"/>
        <w:ind w:left="1419" w:right="0" w:hanging="284"/>
        <w:jc w:val="both"/>
      </w:pPr>
      <w:r>
        <w:rPr/>
        <w:t>Teoría</w:t>
      </w:r>
      <w:r>
        <w:rPr>
          <w:spacing w:val="-2"/>
        </w:rPr>
        <w:t> </w:t>
      </w:r>
      <w:r>
        <w:rPr/>
        <w:t>de</w:t>
      </w:r>
      <w:r>
        <w:rPr>
          <w:spacing w:val="-1"/>
        </w:rPr>
        <w:t> </w:t>
      </w:r>
      <w:r>
        <w:rPr/>
        <w:t>la</w:t>
      </w:r>
      <w:r>
        <w:rPr>
          <w:spacing w:val="-1"/>
        </w:rPr>
        <w:t> </w:t>
      </w:r>
      <w:r>
        <w:rPr/>
        <w:t>Información</w:t>
      </w:r>
      <w:r>
        <w:rPr>
          <w:spacing w:val="-1"/>
        </w:rPr>
        <w:t> </w:t>
      </w:r>
      <w:r>
        <w:rPr>
          <w:spacing w:val="-2"/>
        </w:rPr>
        <w:t>Asimétrica</w:t>
      </w:r>
    </w:p>
    <w:p>
      <w:pPr>
        <w:pStyle w:val="BodyText"/>
        <w:rPr>
          <w:b/>
        </w:rPr>
      </w:pPr>
    </w:p>
    <w:p>
      <w:pPr>
        <w:pStyle w:val="BodyText"/>
        <w:spacing w:line="480" w:lineRule="auto"/>
        <w:ind w:left="1419" w:right="994"/>
        <w:jc w:val="both"/>
      </w:pPr>
      <w:r>
        <w:rPr>
          <w:b/>
        </w:rPr>
        <w:t>Descripción: </w:t>
      </w:r>
      <w:r>
        <w:rPr/>
        <w:t>Este modelo plantea que, en muchas transacciones económicas, una de las partes posee más información que la otra, lo que puede conducir a decisiones económicas subóptimas. Esto afecta la opinión sobre los mercados y la realización de decisiones (Akerlof, G. A. 1970).</w:t>
      </w:r>
    </w:p>
    <w:p>
      <w:pPr>
        <w:pStyle w:val="BodyText"/>
        <w:spacing w:after="0" w:line="480" w:lineRule="auto"/>
        <w:jc w:val="both"/>
        <w:sectPr>
          <w:pgSz w:w="11910" w:h="16840"/>
          <w:pgMar w:header="0" w:footer="693" w:top="1340" w:bottom="880" w:left="1559" w:right="425"/>
        </w:sectPr>
      </w:pPr>
    </w:p>
    <w:p>
      <w:pPr>
        <w:pStyle w:val="Heading3"/>
        <w:numPr>
          <w:ilvl w:val="3"/>
          <w:numId w:val="10"/>
        </w:numPr>
        <w:tabs>
          <w:tab w:pos="1561" w:val="left" w:leader="none"/>
        </w:tabs>
        <w:spacing w:line="240" w:lineRule="auto" w:before="66" w:after="0"/>
        <w:ind w:left="1561" w:right="0" w:hanging="360"/>
        <w:jc w:val="left"/>
      </w:pPr>
      <w:r>
        <w:rPr/>
        <w:t>Modelo</w:t>
      </w:r>
      <w:r>
        <w:rPr>
          <w:spacing w:val="-1"/>
        </w:rPr>
        <w:t> </w:t>
      </w:r>
      <w:r>
        <w:rPr/>
        <w:t>de Confianza</w:t>
      </w:r>
      <w:r>
        <w:rPr>
          <w:spacing w:val="-1"/>
        </w:rPr>
        <w:t> </w:t>
      </w:r>
      <w:r>
        <w:rPr/>
        <w:t>del</w:t>
      </w:r>
      <w:r>
        <w:rPr>
          <w:spacing w:val="-2"/>
        </w:rPr>
        <w:t> Consumidor</w:t>
      </w:r>
    </w:p>
    <w:p>
      <w:pPr>
        <w:pStyle w:val="BodyText"/>
        <w:rPr>
          <w:b/>
        </w:rPr>
      </w:pPr>
    </w:p>
    <w:p>
      <w:pPr>
        <w:pStyle w:val="BodyText"/>
        <w:spacing w:line="480" w:lineRule="auto"/>
        <w:ind w:left="1561" w:right="995"/>
        <w:jc w:val="both"/>
      </w:pPr>
      <w:r>
        <w:rPr>
          <w:b/>
        </w:rPr>
        <w:t>Descripción: </w:t>
      </w:r>
      <w:r>
        <w:rPr/>
        <w:t>Este modelo analiza cómo la fe de los usuarios influye en su percepción de la economía y sus decisiones de gasto, afectando así la actividad económica general (Shiller, R. J. 2000).</w:t>
      </w:r>
    </w:p>
    <w:p>
      <w:pPr>
        <w:pStyle w:val="Heading3"/>
        <w:numPr>
          <w:ilvl w:val="4"/>
          <w:numId w:val="10"/>
        </w:numPr>
        <w:tabs>
          <w:tab w:pos="1985" w:val="left" w:leader="none"/>
        </w:tabs>
        <w:spacing w:line="480" w:lineRule="auto" w:before="1" w:after="0"/>
        <w:ind w:left="1985" w:right="6643" w:hanging="360"/>
        <w:jc w:val="both"/>
      </w:pPr>
      <w:r>
        <w:rPr>
          <w:spacing w:val="-2"/>
        </w:rPr>
        <w:t>Actividad Descripción:</w:t>
      </w:r>
    </w:p>
    <w:p>
      <w:pPr>
        <w:pStyle w:val="BodyText"/>
        <w:spacing w:line="480" w:lineRule="auto"/>
        <w:ind w:left="1985" w:right="990"/>
        <w:jc w:val="both"/>
      </w:pPr>
      <w:r>
        <w:rPr/>
        <w:t>La</w:t>
      </w:r>
      <w:r>
        <w:rPr>
          <w:spacing w:val="-8"/>
        </w:rPr>
        <w:t> </w:t>
      </w:r>
      <w:r>
        <w:rPr/>
        <w:t>dimensión</w:t>
      </w:r>
      <w:r>
        <w:rPr>
          <w:spacing w:val="-8"/>
        </w:rPr>
        <w:t> </w:t>
      </w:r>
      <w:r>
        <w:rPr/>
        <w:t>de</w:t>
      </w:r>
      <w:r>
        <w:rPr>
          <w:spacing w:val="-8"/>
        </w:rPr>
        <w:t> </w:t>
      </w:r>
      <w:r>
        <w:rPr/>
        <w:t>actividad</w:t>
      </w:r>
      <w:r>
        <w:rPr>
          <w:spacing w:val="-8"/>
        </w:rPr>
        <w:t> </w:t>
      </w:r>
      <w:r>
        <w:rPr/>
        <w:t>en</w:t>
      </w:r>
      <w:r>
        <w:rPr>
          <w:spacing w:val="-8"/>
        </w:rPr>
        <w:t> </w:t>
      </w:r>
      <w:r>
        <w:rPr/>
        <w:t>la</w:t>
      </w:r>
      <w:r>
        <w:rPr>
          <w:spacing w:val="-8"/>
        </w:rPr>
        <w:t> </w:t>
      </w:r>
      <w:r>
        <w:rPr/>
        <w:t>percepción</w:t>
      </w:r>
      <w:r>
        <w:rPr>
          <w:spacing w:val="-8"/>
        </w:rPr>
        <w:t> </w:t>
      </w:r>
      <w:r>
        <w:rPr/>
        <w:t>económica</w:t>
      </w:r>
      <w:r>
        <w:rPr>
          <w:spacing w:val="-8"/>
        </w:rPr>
        <w:t> </w:t>
      </w:r>
      <w:r>
        <w:rPr/>
        <w:t>se</w:t>
      </w:r>
      <w:r>
        <w:rPr>
          <w:spacing w:val="-7"/>
        </w:rPr>
        <w:t> </w:t>
      </w:r>
      <w:r>
        <w:rPr/>
        <w:t>refiere</w:t>
      </w:r>
      <w:r>
        <w:rPr>
          <w:spacing w:val="-8"/>
        </w:rPr>
        <w:t> </w:t>
      </w:r>
      <w:r>
        <w:rPr/>
        <w:t>al</w:t>
      </w:r>
      <w:r>
        <w:rPr>
          <w:spacing w:val="-8"/>
        </w:rPr>
        <w:t> </w:t>
      </w:r>
      <w:r>
        <w:rPr/>
        <w:t>nivel de dinamismo y el involucramiento de los agentes económicos en el mercado. Esto incluye las transacciones comerciales, la producción, el consumo</w:t>
      </w:r>
      <w:r>
        <w:rPr>
          <w:spacing w:val="-15"/>
        </w:rPr>
        <w:t> </w:t>
      </w:r>
      <w:r>
        <w:rPr/>
        <w:t>y</w:t>
      </w:r>
      <w:r>
        <w:rPr>
          <w:spacing w:val="-15"/>
        </w:rPr>
        <w:t> </w:t>
      </w:r>
      <w:r>
        <w:rPr/>
        <w:t>otros</w:t>
      </w:r>
      <w:r>
        <w:rPr>
          <w:spacing w:val="-15"/>
        </w:rPr>
        <w:t> </w:t>
      </w:r>
      <w:r>
        <w:rPr/>
        <w:t>aspectos</w:t>
      </w:r>
      <w:r>
        <w:rPr>
          <w:spacing w:val="-15"/>
        </w:rPr>
        <w:t> </w:t>
      </w:r>
      <w:r>
        <w:rPr/>
        <w:t>que</w:t>
      </w:r>
      <w:r>
        <w:rPr>
          <w:spacing w:val="-15"/>
        </w:rPr>
        <w:t> </w:t>
      </w:r>
      <w:r>
        <w:rPr/>
        <w:t>indican</w:t>
      </w:r>
      <w:r>
        <w:rPr>
          <w:spacing w:val="-15"/>
        </w:rPr>
        <w:t> </w:t>
      </w:r>
      <w:r>
        <w:rPr/>
        <w:t>cómo</w:t>
      </w:r>
      <w:r>
        <w:rPr>
          <w:spacing w:val="-15"/>
        </w:rPr>
        <w:t> </w:t>
      </w:r>
      <w:r>
        <w:rPr/>
        <w:t>los</w:t>
      </w:r>
      <w:r>
        <w:rPr>
          <w:spacing w:val="-15"/>
        </w:rPr>
        <w:t> </w:t>
      </w:r>
      <w:r>
        <w:rPr/>
        <w:t>individuos</w:t>
      </w:r>
      <w:r>
        <w:rPr>
          <w:spacing w:val="-15"/>
        </w:rPr>
        <w:t> </w:t>
      </w:r>
      <w:r>
        <w:rPr/>
        <w:t>y</w:t>
      </w:r>
      <w:r>
        <w:rPr>
          <w:spacing w:val="-15"/>
        </w:rPr>
        <w:t> </w:t>
      </w:r>
      <w:r>
        <w:rPr/>
        <w:t>las</w:t>
      </w:r>
      <w:r>
        <w:rPr>
          <w:spacing w:val="-15"/>
        </w:rPr>
        <w:t> </w:t>
      </w:r>
      <w:r>
        <w:rPr/>
        <w:t>empresas están involucrados en la economía. La actividad económica es un indicador crucial de la salud económica de una región o país,</w:t>
      </w:r>
    </w:p>
    <w:p>
      <w:pPr>
        <w:pStyle w:val="BodyText"/>
        <w:spacing w:line="480" w:lineRule="auto" w:before="1"/>
        <w:ind w:left="1985" w:right="993" w:firstLine="720"/>
        <w:jc w:val="both"/>
      </w:pPr>
      <w:r>
        <w:rPr/>
        <w:t>y</w:t>
      </w:r>
      <w:r>
        <w:rPr>
          <w:spacing w:val="-14"/>
        </w:rPr>
        <w:t> </w:t>
      </w:r>
      <w:r>
        <w:rPr/>
        <w:t>su</w:t>
      </w:r>
      <w:r>
        <w:rPr>
          <w:spacing w:val="-13"/>
        </w:rPr>
        <w:t> </w:t>
      </w:r>
      <w:r>
        <w:rPr/>
        <w:t>evaluación</w:t>
      </w:r>
      <w:r>
        <w:rPr>
          <w:spacing w:val="-14"/>
        </w:rPr>
        <w:t> </w:t>
      </w:r>
      <w:r>
        <w:rPr/>
        <w:t>por</w:t>
      </w:r>
      <w:r>
        <w:rPr>
          <w:spacing w:val="-12"/>
        </w:rPr>
        <w:t> </w:t>
      </w:r>
      <w:r>
        <w:rPr/>
        <w:t>parte</w:t>
      </w:r>
      <w:r>
        <w:rPr>
          <w:spacing w:val="-14"/>
        </w:rPr>
        <w:t> </w:t>
      </w:r>
      <w:r>
        <w:rPr/>
        <w:t>de</w:t>
      </w:r>
      <w:r>
        <w:rPr>
          <w:spacing w:val="-12"/>
        </w:rPr>
        <w:t> </w:t>
      </w:r>
      <w:r>
        <w:rPr/>
        <w:t>los</w:t>
      </w:r>
      <w:r>
        <w:rPr>
          <w:spacing w:val="-13"/>
        </w:rPr>
        <w:t> </w:t>
      </w:r>
      <w:r>
        <w:rPr/>
        <w:t>agentes</w:t>
      </w:r>
      <w:r>
        <w:rPr>
          <w:spacing w:val="-13"/>
        </w:rPr>
        <w:t> </w:t>
      </w:r>
      <w:r>
        <w:rPr/>
        <w:t>económicos</w:t>
      </w:r>
      <w:r>
        <w:rPr>
          <w:spacing w:val="-13"/>
        </w:rPr>
        <w:t> </w:t>
      </w:r>
      <w:r>
        <w:rPr/>
        <w:t>puede</w:t>
      </w:r>
      <w:r>
        <w:rPr>
          <w:spacing w:val="-13"/>
        </w:rPr>
        <w:t> </w:t>
      </w:r>
      <w:r>
        <w:rPr/>
        <w:t>influir en su comportamiento y decisiones.</w:t>
      </w:r>
    </w:p>
    <w:p>
      <w:pPr>
        <w:pStyle w:val="Heading3"/>
        <w:ind w:left="1985"/>
      </w:pPr>
      <w:r>
        <w:rPr>
          <w:spacing w:val="-2"/>
        </w:rPr>
        <w:t>Importancia:</w:t>
      </w:r>
    </w:p>
    <w:p>
      <w:pPr>
        <w:pStyle w:val="BodyText"/>
        <w:rPr>
          <w:b/>
        </w:rPr>
      </w:pPr>
    </w:p>
    <w:p>
      <w:pPr>
        <w:pStyle w:val="BodyText"/>
        <w:spacing w:line="480" w:lineRule="auto"/>
        <w:ind w:left="1985" w:right="992"/>
        <w:jc w:val="both"/>
      </w:pPr>
      <w:r>
        <w:rPr/>
        <w:t>Una percepción positiva de la actividad económica puede fomentar el consumo y la inversión, mientras que una percepción negativa puede conducir a la reducción de la demanda y a decisiones de ahorro. La actividad también se ve afectada por factores como el empleo, la inflación y las políticas fiscales, que pueden influir en cómo los individuos y las empresas perciben su situación económica.</w:t>
      </w:r>
    </w:p>
    <w:p>
      <w:pPr>
        <w:pStyle w:val="Heading3"/>
        <w:numPr>
          <w:ilvl w:val="4"/>
          <w:numId w:val="10"/>
        </w:numPr>
        <w:tabs>
          <w:tab w:pos="1919" w:val="left" w:leader="none"/>
        </w:tabs>
        <w:spacing w:line="477" w:lineRule="auto" w:before="0" w:after="0"/>
        <w:ind w:left="1919" w:right="6305" w:hanging="360"/>
        <w:jc w:val="both"/>
      </w:pPr>
      <w:r>
        <w:rPr>
          <w:spacing w:val="-2"/>
        </w:rPr>
        <w:t>Responsabilidad Descripción:</w:t>
      </w:r>
    </w:p>
    <w:p>
      <w:pPr>
        <w:pStyle w:val="BodyText"/>
        <w:spacing w:line="480" w:lineRule="auto" w:before="4"/>
        <w:ind w:left="1985" w:right="995" w:firstLine="720"/>
        <w:jc w:val="both"/>
      </w:pPr>
      <w:r>
        <w:rPr/>
        <w:t>La dimensión de responsabilidad en la percepción económica se refiere</w:t>
      </w:r>
      <w:r>
        <w:rPr>
          <w:spacing w:val="2"/>
        </w:rPr>
        <w:t> </w:t>
      </w:r>
      <w:r>
        <w:rPr/>
        <w:t>a</w:t>
      </w:r>
      <w:r>
        <w:rPr>
          <w:spacing w:val="8"/>
        </w:rPr>
        <w:t> </w:t>
      </w:r>
      <w:r>
        <w:rPr/>
        <w:t>la</w:t>
      </w:r>
      <w:r>
        <w:rPr>
          <w:spacing w:val="5"/>
        </w:rPr>
        <w:t> </w:t>
      </w:r>
      <w:r>
        <w:rPr/>
        <w:t>capacidad</w:t>
      </w:r>
      <w:r>
        <w:rPr>
          <w:spacing w:val="6"/>
        </w:rPr>
        <w:t> </w:t>
      </w:r>
      <w:r>
        <w:rPr/>
        <w:t>y</w:t>
      </w:r>
      <w:r>
        <w:rPr>
          <w:spacing w:val="6"/>
        </w:rPr>
        <w:t> </w:t>
      </w:r>
      <w:r>
        <w:rPr/>
        <w:t>compromiso</w:t>
      </w:r>
      <w:r>
        <w:rPr>
          <w:spacing w:val="6"/>
        </w:rPr>
        <w:t> </w:t>
      </w:r>
      <w:r>
        <w:rPr/>
        <w:t>de</w:t>
      </w:r>
      <w:r>
        <w:rPr>
          <w:spacing w:val="6"/>
        </w:rPr>
        <w:t> </w:t>
      </w:r>
      <w:r>
        <w:rPr/>
        <w:t>los</w:t>
      </w:r>
      <w:r>
        <w:rPr>
          <w:spacing w:val="7"/>
        </w:rPr>
        <w:t> </w:t>
      </w:r>
      <w:r>
        <w:rPr/>
        <w:t>individuos</w:t>
      </w:r>
      <w:r>
        <w:rPr>
          <w:spacing w:val="7"/>
        </w:rPr>
        <w:t> </w:t>
      </w:r>
      <w:r>
        <w:rPr/>
        <w:t>y</w:t>
      </w:r>
      <w:r>
        <w:rPr>
          <w:spacing w:val="6"/>
        </w:rPr>
        <w:t> </w:t>
      </w:r>
      <w:r>
        <w:rPr>
          <w:spacing w:val="-2"/>
        </w:rPr>
        <w:t>organizaciones</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985" w:right="993"/>
        <w:jc w:val="both"/>
      </w:pPr>
      <w:r>
        <w:rPr/>
        <w:t>para cumplir con sus obligaciones económicas, fiscales y financieras. Esto incluye el pago de impuestos, el acatamiento de contratos y el manejo prudente de los recursos. La percepción de responsabilidad económica es fundamental para construir fe en los mercados y en las </w:t>
      </w:r>
      <w:r>
        <w:rPr>
          <w:spacing w:val="-2"/>
        </w:rPr>
        <w:t>organizaciones.</w:t>
      </w:r>
    </w:p>
    <w:p>
      <w:pPr>
        <w:pStyle w:val="Heading3"/>
        <w:spacing w:before="1"/>
        <w:ind w:left="1985"/>
      </w:pPr>
      <w:r>
        <w:rPr>
          <w:spacing w:val="-2"/>
        </w:rPr>
        <w:t>Importancia:</w:t>
      </w:r>
    </w:p>
    <w:p>
      <w:pPr>
        <w:pStyle w:val="BodyText"/>
        <w:rPr>
          <w:b/>
        </w:rPr>
      </w:pPr>
    </w:p>
    <w:p>
      <w:pPr>
        <w:pStyle w:val="BodyText"/>
        <w:spacing w:line="480" w:lineRule="auto"/>
        <w:ind w:left="1985" w:right="989" w:firstLine="394"/>
        <w:jc w:val="both"/>
      </w:pPr>
      <w:r>
        <w:rPr/>
        <w:t>Una percepción elevada de responsabilidad entre los agentes económicos puede fortalecer la credibilidad de las instituciones y fomentar</w:t>
      </w:r>
      <w:r>
        <w:rPr>
          <w:spacing w:val="-3"/>
        </w:rPr>
        <w:t> </w:t>
      </w:r>
      <w:r>
        <w:rPr/>
        <w:t>un</w:t>
      </w:r>
      <w:r>
        <w:rPr>
          <w:spacing w:val="-2"/>
        </w:rPr>
        <w:t> </w:t>
      </w:r>
      <w:r>
        <w:rPr/>
        <w:t>ambiente</w:t>
      </w:r>
      <w:r>
        <w:rPr>
          <w:spacing w:val="-3"/>
        </w:rPr>
        <w:t> </w:t>
      </w:r>
      <w:r>
        <w:rPr/>
        <w:t>de</w:t>
      </w:r>
      <w:r>
        <w:rPr>
          <w:spacing w:val="-5"/>
        </w:rPr>
        <w:t> </w:t>
      </w:r>
      <w:r>
        <w:rPr/>
        <w:t>negocios</w:t>
      </w:r>
      <w:r>
        <w:rPr>
          <w:spacing w:val="-3"/>
        </w:rPr>
        <w:t> </w:t>
      </w:r>
      <w:r>
        <w:rPr/>
        <w:t>saludable.</w:t>
      </w:r>
      <w:r>
        <w:rPr>
          <w:spacing w:val="-3"/>
        </w:rPr>
        <w:t> </w:t>
      </w:r>
      <w:r>
        <w:rPr/>
        <w:t>Cuando</w:t>
      </w:r>
      <w:r>
        <w:rPr>
          <w:spacing w:val="-2"/>
        </w:rPr>
        <w:t> </w:t>
      </w:r>
      <w:r>
        <w:rPr/>
        <w:t>las</w:t>
      </w:r>
      <w:r>
        <w:rPr>
          <w:spacing w:val="-3"/>
        </w:rPr>
        <w:t> </w:t>
      </w:r>
      <w:r>
        <w:rPr/>
        <w:t>empresas</w:t>
      </w:r>
      <w:r>
        <w:rPr>
          <w:spacing w:val="-3"/>
        </w:rPr>
        <w:t> </w:t>
      </w:r>
      <w:r>
        <w:rPr/>
        <w:t>y</w:t>
      </w:r>
      <w:r>
        <w:rPr>
          <w:spacing w:val="-3"/>
        </w:rPr>
        <w:t> </w:t>
      </w:r>
      <w:r>
        <w:rPr/>
        <w:t>los individuos son vistos como responsables, se genera confianza en el sistema económico, lo que puede captar inversiones y optimizar la solidez económica general.</w:t>
      </w:r>
    </w:p>
    <w:p>
      <w:pPr>
        <w:pStyle w:val="Heading3"/>
        <w:numPr>
          <w:ilvl w:val="4"/>
          <w:numId w:val="10"/>
        </w:numPr>
        <w:tabs>
          <w:tab w:pos="1919" w:val="left" w:leader="none"/>
        </w:tabs>
        <w:spacing w:line="480" w:lineRule="auto" w:before="1" w:after="0"/>
        <w:ind w:left="1919" w:right="5610" w:hanging="360"/>
        <w:jc w:val="both"/>
      </w:pPr>
      <w:r>
        <w:rPr/>
        <w:t>Crecimiento</w:t>
      </w:r>
      <w:r>
        <w:rPr>
          <w:spacing w:val="-15"/>
        </w:rPr>
        <w:t> </w:t>
      </w:r>
      <w:r>
        <w:rPr/>
        <w:t>Comercial </w:t>
      </w:r>
      <w:r>
        <w:rPr>
          <w:spacing w:val="-2"/>
        </w:rPr>
        <w:t>Descripción:</w:t>
      </w:r>
    </w:p>
    <w:p>
      <w:pPr>
        <w:pStyle w:val="BodyText"/>
        <w:spacing w:line="480" w:lineRule="auto"/>
        <w:ind w:left="1985" w:right="990" w:firstLine="720"/>
        <w:jc w:val="both"/>
      </w:pPr>
      <w:r>
        <w:rPr/>
        <w:t>La dimensión de crecimiento comercial se refiere al aumento en la operación económica de las entidades, que se traduce en mayores ventas,</w:t>
      </w:r>
      <w:r>
        <w:rPr>
          <w:spacing w:val="-6"/>
        </w:rPr>
        <w:t> </w:t>
      </w:r>
      <w:r>
        <w:rPr/>
        <w:t>expansión</w:t>
      </w:r>
      <w:r>
        <w:rPr>
          <w:spacing w:val="-7"/>
        </w:rPr>
        <w:t> </w:t>
      </w:r>
      <w:r>
        <w:rPr/>
        <w:t>de</w:t>
      </w:r>
      <w:r>
        <w:rPr>
          <w:spacing w:val="-4"/>
        </w:rPr>
        <w:t> </w:t>
      </w:r>
      <w:r>
        <w:rPr/>
        <w:t>mercados</w:t>
      </w:r>
      <w:r>
        <w:rPr>
          <w:spacing w:val="-6"/>
        </w:rPr>
        <w:t> </w:t>
      </w:r>
      <w:r>
        <w:rPr/>
        <w:t>y</w:t>
      </w:r>
      <w:r>
        <w:rPr>
          <w:spacing w:val="-6"/>
        </w:rPr>
        <w:t> </w:t>
      </w:r>
      <w:r>
        <w:rPr/>
        <w:t>generación</w:t>
      </w:r>
      <w:r>
        <w:rPr>
          <w:spacing w:val="-6"/>
        </w:rPr>
        <w:t> </w:t>
      </w:r>
      <w:r>
        <w:rPr/>
        <w:t>de</w:t>
      </w:r>
      <w:r>
        <w:rPr>
          <w:spacing w:val="-7"/>
        </w:rPr>
        <w:t> </w:t>
      </w:r>
      <w:r>
        <w:rPr/>
        <w:t>empleo.</w:t>
      </w:r>
      <w:r>
        <w:rPr>
          <w:spacing w:val="-7"/>
        </w:rPr>
        <w:t> </w:t>
      </w:r>
      <w:r>
        <w:rPr/>
        <w:t>Esta</w:t>
      </w:r>
      <w:r>
        <w:rPr>
          <w:spacing w:val="-7"/>
        </w:rPr>
        <w:t> </w:t>
      </w:r>
      <w:r>
        <w:rPr/>
        <w:t>percepción de</w:t>
      </w:r>
      <w:r>
        <w:rPr>
          <w:spacing w:val="-14"/>
        </w:rPr>
        <w:t> </w:t>
      </w:r>
      <w:r>
        <w:rPr/>
        <w:t>crecimiento</w:t>
      </w:r>
      <w:r>
        <w:rPr>
          <w:spacing w:val="-13"/>
        </w:rPr>
        <w:t> </w:t>
      </w:r>
      <w:r>
        <w:rPr/>
        <w:t>puede</w:t>
      </w:r>
      <w:r>
        <w:rPr>
          <w:spacing w:val="-13"/>
        </w:rPr>
        <w:t> </w:t>
      </w:r>
      <w:r>
        <w:rPr/>
        <w:t>estar</w:t>
      </w:r>
      <w:r>
        <w:rPr>
          <w:spacing w:val="-13"/>
        </w:rPr>
        <w:t> </w:t>
      </w:r>
      <w:r>
        <w:rPr/>
        <w:t>influenciada</w:t>
      </w:r>
      <w:r>
        <w:rPr>
          <w:spacing w:val="-14"/>
        </w:rPr>
        <w:t> </w:t>
      </w:r>
      <w:r>
        <w:rPr/>
        <w:t>por</w:t>
      </w:r>
      <w:r>
        <w:rPr>
          <w:spacing w:val="-13"/>
        </w:rPr>
        <w:t> </w:t>
      </w:r>
      <w:r>
        <w:rPr/>
        <w:t>factores</w:t>
      </w:r>
      <w:r>
        <w:rPr>
          <w:spacing w:val="-13"/>
        </w:rPr>
        <w:t> </w:t>
      </w:r>
      <w:r>
        <w:rPr/>
        <w:t>como</w:t>
      </w:r>
      <w:r>
        <w:rPr>
          <w:spacing w:val="-13"/>
        </w:rPr>
        <w:t> </w:t>
      </w:r>
      <w:r>
        <w:rPr/>
        <w:t>la</w:t>
      </w:r>
      <w:r>
        <w:rPr>
          <w:spacing w:val="-14"/>
        </w:rPr>
        <w:t> </w:t>
      </w:r>
      <w:r>
        <w:rPr/>
        <w:t>innovación, la competitividad y las políticas económicas. Los agentes económicos tienden a evaluar su entorno en función de las oportunidades de crecimiento y expansión.</w:t>
      </w:r>
    </w:p>
    <w:p>
      <w:pPr>
        <w:pStyle w:val="Heading3"/>
        <w:ind w:left="1985"/>
      </w:pPr>
      <w:r>
        <w:rPr>
          <w:spacing w:val="-2"/>
        </w:rPr>
        <w:t>Importancia:</w:t>
      </w:r>
    </w:p>
    <w:p>
      <w:pPr>
        <w:pStyle w:val="BodyText"/>
        <w:spacing w:line="480" w:lineRule="auto" w:before="274"/>
        <w:ind w:left="1985" w:right="993" w:firstLine="720"/>
        <w:jc w:val="both"/>
      </w:pPr>
      <w:r>
        <w:rPr/>
        <w:t>La percepción de un entorno de crecimiento comercial puede estimular la inversión y el emprendimiento. Cuando las empresas creen que</w:t>
      </w:r>
      <w:r>
        <w:rPr>
          <w:spacing w:val="-7"/>
        </w:rPr>
        <w:t> </w:t>
      </w:r>
      <w:r>
        <w:rPr/>
        <w:t>hay</w:t>
      </w:r>
      <w:r>
        <w:rPr>
          <w:spacing w:val="-6"/>
        </w:rPr>
        <w:t> </w:t>
      </w:r>
      <w:r>
        <w:rPr/>
        <w:t>oportunidades</w:t>
      </w:r>
      <w:r>
        <w:rPr>
          <w:spacing w:val="-5"/>
        </w:rPr>
        <w:t> </w:t>
      </w:r>
      <w:r>
        <w:rPr/>
        <w:t>de</w:t>
      </w:r>
      <w:r>
        <w:rPr>
          <w:spacing w:val="-6"/>
        </w:rPr>
        <w:t> </w:t>
      </w:r>
      <w:r>
        <w:rPr/>
        <w:t>crecimiento,</w:t>
      </w:r>
      <w:r>
        <w:rPr>
          <w:spacing w:val="-4"/>
        </w:rPr>
        <w:t> </w:t>
      </w:r>
      <w:r>
        <w:rPr/>
        <w:t>están</w:t>
      </w:r>
      <w:r>
        <w:rPr>
          <w:spacing w:val="-7"/>
        </w:rPr>
        <w:t> </w:t>
      </w:r>
      <w:r>
        <w:rPr/>
        <w:t>más</w:t>
      </w:r>
      <w:r>
        <w:rPr>
          <w:spacing w:val="-5"/>
        </w:rPr>
        <w:t> </w:t>
      </w:r>
      <w:r>
        <w:rPr/>
        <w:t>dispuestas</w:t>
      </w:r>
      <w:r>
        <w:rPr>
          <w:spacing w:val="-5"/>
        </w:rPr>
        <w:t> </w:t>
      </w:r>
      <w:r>
        <w:rPr/>
        <w:t>a</w:t>
      </w:r>
      <w:r>
        <w:rPr>
          <w:spacing w:val="-2"/>
        </w:rPr>
        <w:t> </w:t>
      </w:r>
      <w:r>
        <w:rPr/>
        <w:t>invertir</w:t>
      </w:r>
      <w:r>
        <w:rPr>
          <w:spacing w:val="-4"/>
        </w:rPr>
        <w:t> </w:t>
      </w:r>
      <w:r>
        <w:rPr>
          <w:spacing w:val="-5"/>
        </w:rPr>
        <w:t>en</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985" w:right="995"/>
        <w:jc w:val="both"/>
      </w:pPr>
      <w:r>
        <w:rPr/>
        <w:t>nuevas tecnologías, aumentar su capacidad productiva y contratar más personal. Esto, a su vez, puede tener un efecto de multiplicación en la economía, impulsando el desarrollo y mejorando el bienestar general.</w:t>
      </w:r>
    </w:p>
    <w:p>
      <w:pPr>
        <w:pStyle w:val="Heading3"/>
        <w:numPr>
          <w:ilvl w:val="1"/>
          <w:numId w:val="10"/>
        </w:numPr>
        <w:tabs>
          <w:tab w:pos="563" w:val="left" w:leader="none"/>
          <w:tab w:pos="568" w:val="left" w:leader="none"/>
        </w:tabs>
        <w:spacing w:line="480" w:lineRule="auto" w:before="1" w:after="0"/>
        <w:ind w:left="563" w:right="7506" w:hanging="420"/>
        <w:jc w:val="both"/>
      </w:pPr>
      <w:bookmarkStart w:name="_bookmark31" w:id="32"/>
      <w:bookmarkEnd w:id="32"/>
      <w:r>
        <w:rPr>
          <w:b w:val="0"/>
        </w:rPr>
      </w:r>
      <w:r>
        <w:rPr/>
        <w:tab/>
        <w:t>Marco</w:t>
      </w:r>
      <w:r>
        <w:rPr>
          <w:spacing w:val="-15"/>
        </w:rPr>
        <w:t> </w:t>
      </w:r>
      <w:r>
        <w:rPr/>
        <w:t>conceptual </w:t>
      </w:r>
      <w:r>
        <w:rPr>
          <w:spacing w:val="-2"/>
        </w:rPr>
        <w:t>Actividad.</w:t>
      </w:r>
    </w:p>
    <w:p>
      <w:pPr>
        <w:pStyle w:val="BodyText"/>
        <w:spacing w:line="480" w:lineRule="auto"/>
        <w:ind w:left="569" w:right="995" w:firstLine="360"/>
        <w:jc w:val="both"/>
      </w:pPr>
      <w:r>
        <w:rPr/>
        <w:t>Conjunto de acciones realizadas para la generación, distribución y utilización de productos y servicios en el sector de economía.</w:t>
      </w:r>
    </w:p>
    <w:p>
      <w:pPr>
        <w:pStyle w:val="Heading3"/>
        <w:ind w:left="569"/>
      </w:pPr>
      <w:r>
        <w:rPr>
          <w:spacing w:val="-2"/>
        </w:rPr>
        <w:t>Cumplimiento.</w:t>
      </w:r>
    </w:p>
    <w:p>
      <w:pPr>
        <w:pStyle w:val="BodyText"/>
        <w:rPr>
          <w:b/>
        </w:rPr>
      </w:pPr>
    </w:p>
    <w:p>
      <w:pPr>
        <w:pStyle w:val="BodyText"/>
        <w:spacing w:line="480" w:lineRule="auto"/>
        <w:ind w:left="569" w:firstLine="414"/>
      </w:pPr>
      <w:r>
        <w:rPr/>
        <w:t>Grado en que los contribuyentes realizan sus obligaciones fiscales, incluyendo la presentación y pago de impuestos.</w:t>
      </w:r>
    </w:p>
    <w:p>
      <w:pPr>
        <w:pStyle w:val="Heading3"/>
        <w:spacing w:before="1"/>
        <w:ind w:left="569"/>
      </w:pPr>
      <w:r>
        <w:rPr>
          <w:spacing w:val="-2"/>
        </w:rPr>
        <w:t>Eficiencia.</w:t>
      </w:r>
    </w:p>
    <w:p>
      <w:pPr>
        <w:pStyle w:val="BodyText"/>
        <w:spacing w:line="480" w:lineRule="auto" w:before="276"/>
        <w:ind w:left="569" w:firstLine="294"/>
      </w:pPr>
      <w:r>
        <w:rPr/>
        <w:t>Capacidad</w:t>
      </w:r>
      <w:r>
        <w:rPr>
          <w:spacing w:val="69"/>
        </w:rPr>
        <w:t> </w:t>
      </w:r>
      <w:r>
        <w:rPr/>
        <w:t>de</w:t>
      </w:r>
      <w:r>
        <w:rPr>
          <w:spacing w:val="68"/>
        </w:rPr>
        <w:t> </w:t>
      </w:r>
      <w:r>
        <w:rPr/>
        <w:t>un</w:t>
      </w:r>
      <w:r>
        <w:rPr>
          <w:spacing w:val="68"/>
        </w:rPr>
        <w:t> </w:t>
      </w:r>
      <w:r>
        <w:rPr/>
        <w:t>sistema</w:t>
      </w:r>
      <w:r>
        <w:rPr>
          <w:spacing w:val="68"/>
        </w:rPr>
        <w:t> </w:t>
      </w:r>
      <w:r>
        <w:rPr/>
        <w:t>para</w:t>
      </w:r>
      <w:r>
        <w:rPr>
          <w:spacing w:val="68"/>
        </w:rPr>
        <w:t> </w:t>
      </w:r>
      <w:r>
        <w:rPr/>
        <w:t>lograr</w:t>
      </w:r>
      <w:r>
        <w:rPr>
          <w:spacing w:val="70"/>
        </w:rPr>
        <w:t> </w:t>
      </w:r>
      <w:r>
        <w:rPr/>
        <w:t>resultados</w:t>
      </w:r>
      <w:r>
        <w:rPr>
          <w:spacing w:val="68"/>
        </w:rPr>
        <w:t> </w:t>
      </w:r>
      <w:r>
        <w:rPr/>
        <w:t>óptimos,</w:t>
      </w:r>
      <w:r>
        <w:rPr>
          <w:spacing w:val="71"/>
        </w:rPr>
        <w:t> </w:t>
      </w:r>
      <w:r>
        <w:rPr/>
        <w:t>en</w:t>
      </w:r>
      <w:r>
        <w:rPr>
          <w:spacing w:val="68"/>
        </w:rPr>
        <w:t> </w:t>
      </w:r>
      <w:r>
        <w:rPr/>
        <w:t>este</w:t>
      </w:r>
      <w:r>
        <w:rPr>
          <w:spacing w:val="69"/>
        </w:rPr>
        <w:t> </w:t>
      </w:r>
      <w:r>
        <w:rPr/>
        <w:t>caso,</w:t>
      </w:r>
      <w:r>
        <w:rPr>
          <w:spacing w:val="69"/>
        </w:rPr>
        <w:t> </w:t>
      </w:r>
      <w:r>
        <w:rPr/>
        <w:t>en</w:t>
      </w:r>
      <w:r>
        <w:rPr>
          <w:spacing w:val="70"/>
        </w:rPr>
        <w:t> </w:t>
      </w:r>
      <w:r>
        <w:rPr/>
        <w:t>la recaudación de impuestos sin distorsionar decisiones económicas.</w:t>
      </w:r>
    </w:p>
    <w:p>
      <w:pPr>
        <w:pStyle w:val="Heading3"/>
        <w:ind w:left="569"/>
      </w:pPr>
      <w:r>
        <w:rPr>
          <w:spacing w:val="-2"/>
        </w:rPr>
        <w:t>Informalidad.</w:t>
      </w:r>
    </w:p>
    <w:p>
      <w:pPr>
        <w:pStyle w:val="BodyText"/>
        <w:spacing w:line="480" w:lineRule="auto" w:before="276"/>
        <w:ind w:left="569" w:right="986" w:firstLine="294"/>
      </w:pPr>
      <w:r>
        <w:rPr/>
        <w:t>Condición</w:t>
      </w:r>
      <w:r>
        <w:rPr>
          <w:spacing w:val="40"/>
        </w:rPr>
        <w:t> </w:t>
      </w:r>
      <w:r>
        <w:rPr/>
        <w:t>de</w:t>
      </w:r>
      <w:r>
        <w:rPr>
          <w:spacing w:val="40"/>
        </w:rPr>
        <w:t> </w:t>
      </w:r>
      <w:r>
        <w:rPr/>
        <w:t>la</w:t>
      </w:r>
      <w:r>
        <w:rPr>
          <w:spacing w:val="40"/>
        </w:rPr>
        <w:t> </w:t>
      </w:r>
      <w:r>
        <w:rPr/>
        <w:t>actividad</w:t>
      </w:r>
      <w:r>
        <w:rPr>
          <w:spacing w:val="40"/>
        </w:rPr>
        <w:t> </w:t>
      </w:r>
      <w:r>
        <w:rPr/>
        <w:t>económica</w:t>
      </w:r>
      <w:r>
        <w:rPr>
          <w:spacing w:val="40"/>
        </w:rPr>
        <w:t> </w:t>
      </w:r>
      <w:r>
        <w:rPr/>
        <w:t>que</w:t>
      </w:r>
      <w:r>
        <w:rPr>
          <w:spacing w:val="40"/>
        </w:rPr>
        <w:t> </w:t>
      </w:r>
      <w:r>
        <w:rPr/>
        <w:t>opera</w:t>
      </w:r>
      <w:r>
        <w:rPr>
          <w:spacing w:val="40"/>
        </w:rPr>
        <w:t> </w:t>
      </w:r>
      <w:r>
        <w:rPr/>
        <w:t>al</w:t>
      </w:r>
      <w:r>
        <w:rPr>
          <w:spacing w:val="40"/>
        </w:rPr>
        <w:t> </w:t>
      </w:r>
      <w:r>
        <w:rPr/>
        <w:t>margen</w:t>
      </w:r>
      <w:r>
        <w:rPr>
          <w:spacing w:val="40"/>
        </w:rPr>
        <w:t> </w:t>
      </w:r>
      <w:r>
        <w:rPr/>
        <w:t>de</w:t>
      </w:r>
      <w:r>
        <w:rPr>
          <w:spacing w:val="40"/>
        </w:rPr>
        <w:t> </w:t>
      </w:r>
      <w:r>
        <w:rPr/>
        <w:t>la</w:t>
      </w:r>
      <w:r>
        <w:rPr>
          <w:spacing w:val="40"/>
        </w:rPr>
        <w:t> </w:t>
      </w:r>
      <w:r>
        <w:rPr/>
        <w:t>regulación</w:t>
      </w:r>
      <w:r>
        <w:rPr>
          <w:spacing w:val="40"/>
        </w:rPr>
        <w:t> </w:t>
      </w:r>
      <w:r>
        <w:rPr/>
        <w:t>y</w:t>
      </w:r>
      <w:r>
        <w:rPr>
          <w:spacing w:val="40"/>
        </w:rPr>
        <w:t> </w:t>
      </w:r>
      <w:r>
        <w:rPr/>
        <w:t>supervisión estatal.</w:t>
      </w:r>
    </w:p>
    <w:p>
      <w:pPr>
        <w:pStyle w:val="Heading3"/>
        <w:ind w:left="569"/>
      </w:pPr>
      <w:r>
        <w:rPr>
          <w:spacing w:val="-2"/>
        </w:rPr>
        <w:t>Reglamento.</w:t>
      </w:r>
    </w:p>
    <w:p>
      <w:pPr>
        <w:pStyle w:val="BodyText"/>
        <w:rPr>
          <w:b/>
        </w:rPr>
      </w:pPr>
    </w:p>
    <w:p>
      <w:pPr>
        <w:pStyle w:val="BodyText"/>
        <w:spacing w:line="480" w:lineRule="auto"/>
        <w:ind w:left="569" w:right="986" w:firstLine="294"/>
        <w:rPr>
          <w:b/>
        </w:rPr>
      </w:pPr>
      <w:r>
        <w:rPr/>
        <w:t>Conjunto</w:t>
      </w:r>
      <w:r>
        <w:rPr>
          <w:spacing w:val="-11"/>
        </w:rPr>
        <w:t> </w:t>
      </w:r>
      <w:r>
        <w:rPr/>
        <w:t>de</w:t>
      </w:r>
      <w:r>
        <w:rPr>
          <w:spacing w:val="-10"/>
        </w:rPr>
        <w:t> </w:t>
      </w:r>
      <w:r>
        <w:rPr/>
        <w:t>reglas</w:t>
      </w:r>
      <w:r>
        <w:rPr>
          <w:spacing w:val="-11"/>
        </w:rPr>
        <w:t> </w:t>
      </w:r>
      <w:r>
        <w:rPr/>
        <w:t>que</w:t>
      </w:r>
      <w:r>
        <w:rPr>
          <w:spacing w:val="-12"/>
        </w:rPr>
        <w:t> </w:t>
      </w:r>
      <w:r>
        <w:rPr/>
        <w:t>rigen</w:t>
      </w:r>
      <w:r>
        <w:rPr>
          <w:spacing w:val="-10"/>
        </w:rPr>
        <w:t> </w:t>
      </w:r>
      <w:r>
        <w:rPr/>
        <w:t>la</w:t>
      </w:r>
      <w:r>
        <w:rPr>
          <w:spacing w:val="-11"/>
        </w:rPr>
        <w:t> </w:t>
      </w:r>
      <w:r>
        <w:rPr/>
        <w:t>implementación</w:t>
      </w:r>
      <w:r>
        <w:rPr>
          <w:spacing w:val="-10"/>
        </w:rPr>
        <w:t> </w:t>
      </w:r>
      <w:r>
        <w:rPr/>
        <w:t>de</w:t>
      </w:r>
      <w:r>
        <w:rPr>
          <w:spacing w:val="-11"/>
        </w:rPr>
        <w:t> </w:t>
      </w:r>
      <w:r>
        <w:rPr/>
        <w:t>impuestos,</w:t>
      </w:r>
      <w:r>
        <w:rPr>
          <w:spacing w:val="-9"/>
        </w:rPr>
        <w:t> </w:t>
      </w:r>
      <w:r>
        <w:rPr/>
        <w:t>incluyendo</w:t>
      </w:r>
      <w:r>
        <w:rPr>
          <w:spacing w:val="-10"/>
        </w:rPr>
        <w:t> </w:t>
      </w:r>
      <w:r>
        <w:rPr/>
        <w:t>su</w:t>
      </w:r>
      <w:r>
        <w:rPr>
          <w:spacing w:val="-11"/>
        </w:rPr>
        <w:t> </w:t>
      </w:r>
      <w:r>
        <w:rPr/>
        <w:t>cálculo y procedimientos de pago</w:t>
      </w:r>
      <w:r>
        <w:rPr>
          <w:b/>
        </w:rPr>
        <w:t>.</w:t>
      </w:r>
    </w:p>
    <w:p>
      <w:pPr>
        <w:pStyle w:val="Heading3"/>
        <w:ind w:left="569"/>
      </w:pPr>
      <w:r>
        <w:rPr>
          <w:spacing w:val="-2"/>
        </w:rPr>
        <w:t>Recaudación.</w:t>
      </w:r>
    </w:p>
    <w:p>
      <w:pPr>
        <w:pStyle w:val="BodyText"/>
        <w:rPr>
          <w:b/>
        </w:rPr>
      </w:pPr>
    </w:p>
    <w:p>
      <w:pPr>
        <w:pStyle w:val="BodyText"/>
        <w:spacing w:line="480" w:lineRule="auto"/>
        <w:ind w:left="569" w:right="986" w:firstLine="414"/>
      </w:pPr>
      <w:r>
        <w:rPr/>
        <w:t>Proceso mediante el cual el Estado recoge ingresos públicos a través de impuestos y contribuciones.</w:t>
      </w:r>
    </w:p>
    <w:p>
      <w:pPr>
        <w:pStyle w:val="Heading3"/>
        <w:spacing w:line="274" w:lineRule="exact"/>
        <w:ind w:left="569"/>
      </w:pPr>
      <w:r>
        <w:rPr>
          <w:spacing w:val="-2"/>
        </w:rPr>
        <w:t>Responsabilidad.</w:t>
      </w:r>
    </w:p>
    <w:p>
      <w:pPr>
        <w:pStyle w:val="BodyText"/>
        <w:rPr>
          <w:b/>
        </w:rPr>
      </w:pPr>
    </w:p>
    <w:p>
      <w:pPr>
        <w:pStyle w:val="BodyText"/>
        <w:spacing w:line="480" w:lineRule="auto"/>
        <w:ind w:left="569" w:right="986" w:firstLine="426"/>
      </w:pPr>
      <w:r>
        <w:rPr/>
        <w:t>Compromiso</w:t>
      </w:r>
      <w:r>
        <w:rPr>
          <w:spacing w:val="-7"/>
        </w:rPr>
        <w:t> </w:t>
      </w:r>
      <w:r>
        <w:rPr/>
        <w:t>de</w:t>
      </w:r>
      <w:r>
        <w:rPr>
          <w:spacing w:val="-8"/>
        </w:rPr>
        <w:t> </w:t>
      </w:r>
      <w:r>
        <w:rPr/>
        <w:t>las</w:t>
      </w:r>
      <w:r>
        <w:rPr>
          <w:spacing w:val="-7"/>
        </w:rPr>
        <w:t> </w:t>
      </w:r>
      <w:r>
        <w:rPr/>
        <w:t>empresas</w:t>
      </w:r>
      <w:r>
        <w:rPr>
          <w:spacing w:val="-7"/>
        </w:rPr>
        <w:t> </w:t>
      </w:r>
      <w:r>
        <w:rPr/>
        <w:t>de</w:t>
      </w:r>
      <w:r>
        <w:rPr>
          <w:spacing w:val="-8"/>
        </w:rPr>
        <w:t> </w:t>
      </w:r>
      <w:r>
        <w:rPr/>
        <w:t>actuar</w:t>
      </w:r>
      <w:r>
        <w:rPr>
          <w:spacing w:val="-8"/>
        </w:rPr>
        <w:t> </w:t>
      </w:r>
      <w:r>
        <w:rPr/>
        <w:t>de</w:t>
      </w:r>
      <w:r>
        <w:rPr>
          <w:spacing w:val="-6"/>
        </w:rPr>
        <w:t> </w:t>
      </w:r>
      <w:r>
        <w:rPr/>
        <w:t>manera</w:t>
      </w:r>
      <w:r>
        <w:rPr>
          <w:spacing w:val="-8"/>
        </w:rPr>
        <w:t> </w:t>
      </w:r>
      <w:r>
        <w:rPr/>
        <w:t>ética</w:t>
      </w:r>
      <w:r>
        <w:rPr>
          <w:spacing w:val="-8"/>
        </w:rPr>
        <w:t> </w:t>
      </w:r>
      <w:r>
        <w:rPr/>
        <w:t>y</w:t>
      </w:r>
      <w:r>
        <w:rPr>
          <w:spacing w:val="-8"/>
        </w:rPr>
        <w:t> </w:t>
      </w:r>
      <w:r>
        <w:rPr/>
        <w:t>cumplir</w:t>
      </w:r>
      <w:r>
        <w:rPr>
          <w:spacing w:val="-7"/>
        </w:rPr>
        <w:t> </w:t>
      </w:r>
      <w:r>
        <w:rPr/>
        <w:t>con</w:t>
      </w:r>
      <w:r>
        <w:rPr>
          <w:spacing w:val="-8"/>
        </w:rPr>
        <w:t> </w:t>
      </w:r>
      <w:r>
        <w:rPr/>
        <w:t>obligaciones fiscales y sociales.</w:t>
      </w:r>
    </w:p>
    <w:p>
      <w:pPr>
        <w:pStyle w:val="BodyText"/>
        <w:spacing w:after="0" w:line="480" w:lineRule="auto"/>
        <w:sectPr>
          <w:pgSz w:w="11910" w:h="16840"/>
          <w:pgMar w:header="0" w:footer="693" w:top="1340" w:bottom="880" w:left="1559" w:right="425"/>
        </w:sectPr>
      </w:pPr>
    </w:p>
    <w:p>
      <w:pPr>
        <w:pStyle w:val="Heading3"/>
        <w:spacing w:before="66"/>
        <w:ind w:left="569"/>
      </w:pPr>
      <w:r>
        <w:rPr>
          <w:spacing w:val="-2"/>
        </w:rPr>
        <w:t>Sostenibilidad.</w:t>
      </w:r>
    </w:p>
    <w:p>
      <w:pPr>
        <w:pStyle w:val="BodyText"/>
        <w:rPr>
          <w:b/>
        </w:rPr>
      </w:pPr>
    </w:p>
    <w:p>
      <w:pPr>
        <w:pStyle w:val="BodyText"/>
        <w:spacing w:line="480" w:lineRule="auto"/>
        <w:ind w:left="569" w:right="986" w:firstLine="486"/>
        <w:rPr>
          <w:b/>
        </w:rPr>
      </w:pPr>
      <w:r>
        <w:rPr/>
        <w:t>Potencial de una economía para sostener su desarrollo a largo plazo. sin agotar</w:t>
      </w:r>
      <w:r>
        <w:rPr>
          <w:spacing w:val="80"/>
          <w:w w:val="150"/>
        </w:rPr>
        <w:t> </w:t>
      </w:r>
      <w:r>
        <w:rPr/>
        <w:t>recursos ni dañar el medio ambiente</w:t>
      </w:r>
      <w:r>
        <w:rPr>
          <w:b/>
        </w:rPr>
        <w:t>.</w:t>
      </w:r>
    </w:p>
    <w:p>
      <w:pPr>
        <w:pStyle w:val="BodyText"/>
        <w:spacing w:after="0" w:line="480" w:lineRule="auto"/>
        <w:rPr>
          <w:b/>
        </w:rPr>
        <w:sectPr>
          <w:headerReference w:type="default" r:id="rId38"/>
          <w:footerReference w:type="default" r:id="rId39"/>
          <w:pgSz w:w="11910" w:h="16840"/>
          <w:pgMar w:header="0" w:footer="693" w:top="1340" w:bottom="880" w:left="1559" w:right="425"/>
        </w:sectPr>
      </w:pPr>
    </w:p>
    <w:p>
      <w:pPr>
        <w:pStyle w:val="BodyText"/>
        <w:rPr>
          <w:b/>
          <w:sz w:val="20"/>
        </w:rPr>
      </w:pPr>
      <w:r>
        <w:rPr>
          <w:b/>
          <w:sz w:val="20"/>
        </w:rPr>
        <w:drawing>
          <wp:anchor distT="0" distB="0" distL="0" distR="0" allowOverlap="1" layoutInCell="1" locked="0" behindDoc="0" simplePos="0" relativeHeight="15750144">
            <wp:simplePos x="0" y="0"/>
            <wp:positionH relativeFrom="page">
              <wp:posOffset>0</wp:posOffset>
            </wp:positionH>
            <wp:positionV relativeFrom="page">
              <wp:posOffset>0</wp:posOffset>
            </wp:positionV>
            <wp:extent cx="7559040" cy="858265"/>
            <wp:effectExtent l="0" t="0" r="0" b="0"/>
            <wp:wrapNone/>
            <wp:docPr id="106" name="Image 106"/>
            <wp:cNvGraphicFramePr>
              <a:graphicFrameLocks/>
            </wp:cNvGraphicFramePr>
            <a:graphic>
              <a:graphicData uri="http://schemas.openxmlformats.org/drawingml/2006/picture">
                <pic:pic>
                  <pic:nvPicPr>
                    <pic:cNvPr id="106" name="Image 106"/>
                    <pic:cNvPicPr/>
                  </pic:nvPicPr>
                  <pic:blipFill>
                    <a:blip r:embed="rId5" cstate="print"/>
                    <a:stretch>
                      <a:fillRect/>
                    </a:stretch>
                  </pic:blipFill>
                  <pic:spPr>
                    <a:xfrm>
                      <a:off x="0" y="0"/>
                      <a:ext cx="7559040" cy="858265"/>
                    </a:xfrm>
                    <a:prstGeom prst="rect">
                      <a:avLst/>
                    </a:prstGeom>
                  </pic:spPr>
                </pic:pic>
              </a:graphicData>
            </a:graphic>
          </wp:anchor>
        </w:drawing>
      </w:r>
    </w:p>
    <w:p>
      <w:pPr>
        <w:pStyle w:val="BodyText"/>
        <w:spacing w:before="47"/>
        <w:rPr>
          <w:b/>
          <w:sz w:val="20"/>
        </w:rPr>
      </w:pPr>
    </w:p>
    <w:p>
      <w:pPr>
        <w:pStyle w:val="BodyText"/>
        <w:ind w:left="8551"/>
        <w:rPr>
          <w:sz w:val="20"/>
        </w:rPr>
      </w:pPr>
      <w:r>
        <w:rPr>
          <w:sz w:val="20"/>
        </w:rPr>
        <mc:AlternateContent>
          <mc:Choice Requires="wps">
            <w:drawing>
              <wp:inline distT="0" distB="0" distL="0" distR="0">
                <wp:extent cx="352425" cy="476250"/>
                <wp:effectExtent l="0" t="0" r="0" b="0"/>
                <wp:docPr id="107" name="Group 107"/>
                <wp:cNvGraphicFramePr>
                  <a:graphicFrameLocks/>
                </wp:cNvGraphicFramePr>
                <a:graphic>
                  <a:graphicData uri="http://schemas.microsoft.com/office/word/2010/wordprocessingGroup">
                    <wpg:wgp>
                      <wpg:cNvPr id="107" name="Group 107"/>
                      <wpg:cNvGrpSpPr/>
                      <wpg:grpSpPr>
                        <a:xfrm>
                          <a:off x="0" y="0"/>
                          <a:ext cx="352425" cy="476250"/>
                          <a:chExt cx="352425" cy="476250"/>
                        </a:xfrm>
                      </wpg:grpSpPr>
                      <wps:wsp>
                        <wps:cNvPr id="108" name="Graphic 108"/>
                        <wps:cNvSpPr/>
                        <wps:spPr>
                          <a:xfrm>
                            <a:off x="0" y="0"/>
                            <a:ext cx="352425" cy="476250"/>
                          </a:xfrm>
                          <a:custGeom>
                            <a:avLst/>
                            <a:gdLst/>
                            <a:ahLst/>
                            <a:cxnLst/>
                            <a:rect l="l" t="t" r="r" b="b"/>
                            <a:pathLst>
                              <a:path w="352425" h="476250">
                                <a:moveTo>
                                  <a:pt x="352425" y="0"/>
                                </a:moveTo>
                                <a:lnTo>
                                  <a:pt x="0" y="0"/>
                                </a:lnTo>
                                <a:lnTo>
                                  <a:pt x="0" y="476250"/>
                                </a:lnTo>
                                <a:lnTo>
                                  <a:pt x="352425" y="476250"/>
                                </a:lnTo>
                                <a:lnTo>
                                  <a:pt x="352425"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style="width:27.75pt;height:37.5pt;mso-position-horizontal-relative:char;mso-position-vertical-relative:line" id="docshapegroup78" coordorigin="0,0" coordsize="555,750">
                <v:rect style="position:absolute;left:0;top:0;width:555;height:750" id="docshape79" filled="true" fillcolor="#ffffff" stroked="false">
                  <v:fill type="solid"/>
                </v:rect>
              </v:group>
            </w:pict>
          </mc:Fallback>
        </mc:AlternateContent>
      </w:r>
      <w:r>
        <w:rPr>
          <w:sz w:val="20"/>
        </w:rPr>
      </w:r>
    </w:p>
    <w:p>
      <w:pPr>
        <w:pStyle w:val="Heading1"/>
        <w:spacing w:before="118"/>
        <w:ind w:left="0" w:right="845"/>
        <w:rPr>
          <w:rFonts w:ascii="Times New Roman" w:hAnsi="Times New Roman"/>
        </w:rPr>
      </w:pPr>
      <w:r>
        <w:rPr>
          <w:rFonts w:ascii="Times New Roman" w:hAnsi="Times New Roman"/>
        </w:rPr>
        <mc:AlternateContent>
          <mc:Choice Requires="wps">
            <w:drawing>
              <wp:anchor distT="0" distB="0" distL="0" distR="0" allowOverlap="1" layoutInCell="1" locked="0" behindDoc="1" simplePos="0" relativeHeight="486003712">
                <wp:simplePos x="0" y="0"/>
                <wp:positionH relativeFrom="page">
                  <wp:posOffset>6508368</wp:posOffset>
                </wp:positionH>
                <wp:positionV relativeFrom="paragraph">
                  <wp:posOffset>-369485</wp:posOffset>
                </wp:positionV>
                <wp:extent cx="152400" cy="168910"/>
                <wp:effectExtent l="0" t="0" r="0" b="0"/>
                <wp:wrapNone/>
                <wp:docPr id="109" name="Textbox 109"/>
                <wp:cNvGraphicFramePr>
                  <a:graphicFrameLocks/>
                </wp:cNvGraphicFramePr>
                <a:graphic>
                  <a:graphicData uri="http://schemas.microsoft.com/office/word/2010/wordprocessingShape">
                    <wps:wsp>
                      <wps:cNvPr id="109" name="Textbox 109"/>
                      <wps:cNvSpPr txBox="1"/>
                      <wps:spPr>
                        <a:xfrm>
                          <a:off x="0" y="0"/>
                          <a:ext cx="152400" cy="168910"/>
                        </a:xfrm>
                        <a:prstGeom prst="rect">
                          <a:avLst/>
                        </a:prstGeom>
                      </wps:spPr>
                      <wps:txbx>
                        <w:txbxContent>
                          <w:p>
                            <w:pPr>
                              <w:pStyle w:val="BodyText"/>
                              <w:spacing w:line="266" w:lineRule="exact"/>
                            </w:pPr>
                            <w:r>
                              <w:rPr>
                                <w:spacing w:val="-5"/>
                              </w:rPr>
                              <w:t>36</w:t>
                            </w:r>
                          </w:p>
                        </w:txbxContent>
                      </wps:txbx>
                      <wps:bodyPr wrap="square" lIns="0" tIns="0" rIns="0" bIns="0" rtlCol="0">
                        <a:noAutofit/>
                      </wps:bodyPr>
                    </wps:wsp>
                  </a:graphicData>
                </a:graphic>
              </wp:anchor>
            </w:drawing>
          </mc:Choice>
          <mc:Fallback>
            <w:pict>
              <v:shape style="position:absolute;margin-left:512.469971pt;margin-top:-29.093359pt;width:12pt;height:13.3pt;mso-position-horizontal-relative:page;mso-position-vertical-relative:paragraph;z-index:-17312768" type="#_x0000_t202" id="docshape80" filled="false" stroked="false">
                <v:textbox inset="0,0,0,0">
                  <w:txbxContent>
                    <w:p>
                      <w:pPr>
                        <w:pStyle w:val="BodyText"/>
                        <w:spacing w:line="266" w:lineRule="exact"/>
                      </w:pPr>
                      <w:r>
                        <w:rPr>
                          <w:spacing w:val="-5"/>
                        </w:rPr>
                        <w:t>36</w:t>
                      </w:r>
                    </w:p>
                  </w:txbxContent>
                </v:textbox>
                <w10:wrap type="none"/>
              </v:shape>
            </w:pict>
          </mc:Fallback>
        </mc:AlternateContent>
      </w:r>
      <w:bookmarkStart w:name="_bookmark32" w:id="33"/>
      <w:bookmarkEnd w:id="33"/>
      <w:r>
        <w:rPr>
          <w:b w:val="0"/>
        </w:rPr>
      </w:r>
      <w:r>
        <w:rPr>
          <w:rFonts w:ascii="Times New Roman" w:hAnsi="Times New Roman"/>
        </w:rPr>
        <w:t>CAPÍTULO </w:t>
      </w:r>
      <w:r>
        <w:rPr>
          <w:rFonts w:ascii="Times New Roman" w:hAnsi="Times New Roman"/>
          <w:spacing w:val="-5"/>
        </w:rPr>
        <w:t>IV</w:t>
      </w:r>
    </w:p>
    <w:p>
      <w:pPr>
        <w:pStyle w:val="BodyText"/>
        <w:rPr>
          <w:b/>
          <w:sz w:val="28"/>
        </w:rPr>
      </w:pPr>
    </w:p>
    <w:p>
      <w:pPr>
        <w:pStyle w:val="Heading2"/>
        <w:ind w:right="846"/>
      </w:pPr>
      <w:bookmarkStart w:name="_bookmark33" w:id="34"/>
      <w:bookmarkEnd w:id="34"/>
      <w:r>
        <w:rPr>
          <w:b w:val="0"/>
        </w:rPr>
      </w:r>
      <w:r>
        <w:rPr>
          <w:spacing w:val="-2"/>
        </w:rPr>
        <w:t>HIPÓTESIS</w:t>
      </w:r>
    </w:p>
    <w:p>
      <w:pPr>
        <w:pStyle w:val="BodyText"/>
        <w:spacing w:before="120"/>
        <w:rPr>
          <w:b/>
        </w:rPr>
      </w:pPr>
    </w:p>
    <w:p>
      <w:pPr>
        <w:pStyle w:val="Heading3"/>
        <w:numPr>
          <w:ilvl w:val="1"/>
          <w:numId w:val="12"/>
        </w:numPr>
        <w:tabs>
          <w:tab w:pos="568" w:val="left" w:leader="none"/>
        </w:tabs>
        <w:spacing w:line="240" w:lineRule="auto" w:before="0" w:after="0"/>
        <w:ind w:left="568" w:right="0" w:hanging="425"/>
        <w:jc w:val="left"/>
      </w:pPr>
      <w:bookmarkStart w:name="_bookmark34" w:id="35"/>
      <w:bookmarkEnd w:id="35"/>
      <w:r>
        <w:rPr>
          <w:b w:val="0"/>
        </w:rPr>
      </w:r>
      <w:r>
        <w:rPr/>
        <w:t>Hipótesis</w:t>
      </w:r>
      <w:r>
        <w:rPr>
          <w:spacing w:val="-1"/>
        </w:rPr>
        <w:t> </w:t>
      </w:r>
      <w:r>
        <w:rPr>
          <w:spacing w:val="-2"/>
        </w:rPr>
        <w:t>general</w:t>
      </w:r>
    </w:p>
    <w:p>
      <w:pPr>
        <w:pStyle w:val="BodyText"/>
        <w:rPr>
          <w:b/>
        </w:rPr>
      </w:pPr>
    </w:p>
    <w:p>
      <w:pPr>
        <w:pStyle w:val="BodyText"/>
        <w:spacing w:line="480" w:lineRule="auto"/>
        <w:ind w:left="851" w:right="986" w:firstLine="72"/>
      </w:pPr>
      <w:r>
        <w:rPr/>
        <w:t>El</w:t>
      </w:r>
      <w:r>
        <w:rPr>
          <w:spacing w:val="40"/>
        </w:rPr>
        <w:t> </w:t>
      </w:r>
      <w:r>
        <w:rPr/>
        <w:t>impuesto</w:t>
      </w:r>
      <w:r>
        <w:rPr>
          <w:spacing w:val="40"/>
        </w:rPr>
        <w:t> </w:t>
      </w:r>
      <w:r>
        <w:rPr/>
        <w:t>general</w:t>
      </w:r>
      <w:r>
        <w:rPr>
          <w:spacing w:val="40"/>
        </w:rPr>
        <w:t> </w:t>
      </w:r>
      <w:r>
        <w:rPr/>
        <w:t>de</w:t>
      </w:r>
      <w:r>
        <w:rPr>
          <w:spacing w:val="40"/>
        </w:rPr>
        <w:t> </w:t>
      </w:r>
      <w:r>
        <w:rPr/>
        <w:t>las</w:t>
      </w:r>
      <w:r>
        <w:rPr>
          <w:spacing w:val="40"/>
        </w:rPr>
        <w:t> </w:t>
      </w:r>
      <w:r>
        <w:rPr/>
        <w:t>ventas</w:t>
      </w:r>
      <w:r>
        <w:rPr>
          <w:spacing w:val="40"/>
        </w:rPr>
        <w:t> </w:t>
      </w:r>
      <w:r>
        <w:rPr/>
        <w:t>influye</w:t>
      </w:r>
      <w:r>
        <w:rPr>
          <w:spacing w:val="40"/>
        </w:rPr>
        <w:t> </w:t>
      </w:r>
      <w:r>
        <w:rPr/>
        <w:t>significativamente</w:t>
      </w:r>
      <w:r>
        <w:rPr>
          <w:spacing w:val="40"/>
        </w:rPr>
        <w:t> </w:t>
      </w:r>
      <w:r>
        <w:rPr/>
        <w:t>en</w:t>
      </w:r>
      <w:r>
        <w:rPr>
          <w:spacing w:val="40"/>
        </w:rPr>
        <w:t> </w:t>
      </w:r>
      <w:r>
        <w:rPr/>
        <w:t>la</w:t>
      </w:r>
      <w:r>
        <w:rPr>
          <w:spacing w:val="40"/>
        </w:rPr>
        <w:t> </w:t>
      </w:r>
      <w:r>
        <w:rPr/>
        <w:t>percepción económica</w:t>
      </w:r>
      <w:r>
        <w:rPr>
          <w:spacing w:val="-13"/>
        </w:rPr>
        <w:t> </w:t>
      </w:r>
      <w:r>
        <w:rPr/>
        <w:t>de</w:t>
      </w:r>
      <w:r>
        <w:rPr>
          <w:spacing w:val="-12"/>
        </w:rPr>
        <w:t> </w:t>
      </w:r>
      <w:r>
        <w:rPr/>
        <w:t>los</w:t>
      </w:r>
      <w:r>
        <w:rPr>
          <w:spacing w:val="-12"/>
        </w:rPr>
        <w:t> </w:t>
      </w:r>
      <w:r>
        <w:rPr/>
        <w:t>comerciantes</w:t>
      </w:r>
      <w:r>
        <w:rPr>
          <w:spacing w:val="-11"/>
        </w:rPr>
        <w:t> </w:t>
      </w:r>
      <w:r>
        <w:rPr/>
        <w:t>en</w:t>
      </w:r>
      <w:r>
        <w:rPr>
          <w:spacing w:val="-13"/>
        </w:rPr>
        <w:t> </w:t>
      </w:r>
      <w:r>
        <w:rPr/>
        <w:t>el</w:t>
      </w:r>
      <w:r>
        <w:rPr>
          <w:spacing w:val="-13"/>
        </w:rPr>
        <w:t> </w:t>
      </w:r>
      <w:r>
        <w:rPr/>
        <w:t>centro</w:t>
      </w:r>
      <w:r>
        <w:rPr>
          <w:spacing w:val="-12"/>
        </w:rPr>
        <w:t> </w:t>
      </w:r>
      <w:r>
        <w:rPr/>
        <w:t>de</w:t>
      </w:r>
      <w:r>
        <w:rPr>
          <w:spacing w:val="-12"/>
        </w:rPr>
        <w:t> </w:t>
      </w:r>
      <w:r>
        <w:rPr/>
        <w:t>abastos</w:t>
      </w:r>
      <w:r>
        <w:rPr>
          <w:spacing w:val="-9"/>
        </w:rPr>
        <w:t> </w:t>
      </w:r>
      <w:r>
        <w:rPr/>
        <w:t>las</w:t>
      </w:r>
      <w:r>
        <w:rPr>
          <w:spacing w:val="-11"/>
        </w:rPr>
        <w:t> </w:t>
      </w:r>
      <w:r>
        <w:rPr/>
        <w:t>Mercedes</w:t>
      </w:r>
      <w:r>
        <w:rPr>
          <w:spacing w:val="-12"/>
        </w:rPr>
        <w:t> </w:t>
      </w:r>
      <w:r>
        <w:rPr/>
        <w:t>de</w:t>
      </w:r>
      <w:r>
        <w:rPr>
          <w:spacing w:val="-12"/>
        </w:rPr>
        <w:t> </w:t>
      </w:r>
      <w:r>
        <w:rPr/>
        <w:t>Juliaca,</w:t>
      </w:r>
      <w:r>
        <w:rPr>
          <w:spacing w:val="-12"/>
        </w:rPr>
        <w:t> </w:t>
      </w:r>
      <w:r>
        <w:rPr>
          <w:spacing w:val="-2"/>
        </w:rPr>
        <w:t>2023.</w:t>
      </w:r>
    </w:p>
    <w:p>
      <w:pPr>
        <w:pStyle w:val="Heading3"/>
        <w:numPr>
          <w:ilvl w:val="1"/>
          <w:numId w:val="12"/>
        </w:numPr>
        <w:tabs>
          <w:tab w:pos="568" w:val="left" w:leader="none"/>
        </w:tabs>
        <w:spacing w:line="240" w:lineRule="auto" w:before="0" w:after="0"/>
        <w:ind w:left="568" w:right="0" w:hanging="425"/>
        <w:jc w:val="left"/>
      </w:pPr>
      <w:bookmarkStart w:name="_bookmark35" w:id="36"/>
      <w:bookmarkEnd w:id="36"/>
      <w:r>
        <w:rPr>
          <w:b w:val="0"/>
        </w:rPr>
      </w:r>
      <w:r>
        <w:rPr/>
        <w:t>Hipótesis</w:t>
      </w:r>
      <w:r>
        <w:rPr>
          <w:spacing w:val="-1"/>
        </w:rPr>
        <w:t> </w:t>
      </w:r>
      <w:r>
        <w:rPr>
          <w:spacing w:val="-2"/>
        </w:rPr>
        <w:t>especificas</w:t>
      </w:r>
    </w:p>
    <w:p>
      <w:pPr>
        <w:pStyle w:val="BodyText"/>
        <w:spacing w:before="1"/>
        <w:rPr>
          <w:b/>
        </w:rPr>
      </w:pPr>
    </w:p>
    <w:p>
      <w:pPr>
        <w:pStyle w:val="ListParagraph"/>
        <w:numPr>
          <w:ilvl w:val="2"/>
          <w:numId w:val="12"/>
        </w:numPr>
        <w:tabs>
          <w:tab w:pos="1583" w:val="left" w:leader="none"/>
          <w:tab w:pos="1642" w:val="left" w:leader="none"/>
        </w:tabs>
        <w:spacing w:line="470" w:lineRule="auto" w:before="0" w:after="0"/>
        <w:ind w:left="1583" w:right="989" w:hanging="360"/>
        <w:jc w:val="both"/>
        <w:rPr>
          <w:sz w:val="24"/>
        </w:rPr>
      </w:pPr>
      <w:r>
        <w:rPr>
          <w:sz w:val="24"/>
        </w:rPr>
        <w:t>La</w:t>
      </w:r>
      <w:r>
        <w:rPr>
          <w:sz w:val="24"/>
        </w:rPr>
        <w:t> estabilidad económica influye significativamente en la percepción económica</w:t>
      </w:r>
      <w:r>
        <w:rPr>
          <w:spacing w:val="-14"/>
          <w:sz w:val="24"/>
        </w:rPr>
        <w:t> </w:t>
      </w:r>
      <w:r>
        <w:rPr>
          <w:sz w:val="24"/>
        </w:rPr>
        <w:t>de</w:t>
      </w:r>
      <w:r>
        <w:rPr>
          <w:spacing w:val="-12"/>
          <w:sz w:val="24"/>
        </w:rPr>
        <w:t> </w:t>
      </w:r>
      <w:r>
        <w:rPr>
          <w:sz w:val="24"/>
        </w:rPr>
        <w:t>los</w:t>
      </w:r>
      <w:r>
        <w:rPr>
          <w:spacing w:val="-13"/>
          <w:sz w:val="24"/>
        </w:rPr>
        <w:t> </w:t>
      </w:r>
      <w:r>
        <w:rPr>
          <w:sz w:val="24"/>
        </w:rPr>
        <w:t>comerciantes</w:t>
      </w:r>
      <w:r>
        <w:rPr>
          <w:spacing w:val="-13"/>
          <w:sz w:val="24"/>
        </w:rPr>
        <w:t> </w:t>
      </w:r>
      <w:r>
        <w:rPr>
          <w:sz w:val="24"/>
        </w:rPr>
        <w:t>del</w:t>
      </w:r>
      <w:r>
        <w:rPr>
          <w:spacing w:val="-14"/>
          <w:sz w:val="24"/>
        </w:rPr>
        <w:t> </w:t>
      </w:r>
      <w:r>
        <w:rPr>
          <w:sz w:val="24"/>
        </w:rPr>
        <w:t>centro</w:t>
      </w:r>
      <w:r>
        <w:rPr>
          <w:spacing w:val="-9"/>
          <w:sz w:val="24"/>
        </w:rPr>
        <w:t> </w:t>
      </w:r>
      <w:r>
        <w:rPr>
          <w:sz w:val="24"/>
        </w:rPr>
        <w:t>de</w:t>
      </w:r>
      <w:r>
        <w:rPr>
          <w:spacing w:val="-14"/>
          <w:sz w:val="24"/>
        </w:rPr>
        <w:t> </w:t>
      </w:r>
      <w:r>
        <w:rPr>
          <w:sz w:val="24"/>
        </w:rPr>
        <w:t>abastos</w:t>
      </w:r>
      <w:r>
        <w:rPr>
          <w:spacing w:val="-11"/>
          <w:sz w:val="24"/>
        </w:rPr>
        <w:t> </w:t>
      </w:r>
      <w:r>
        <w:rPr>
          <w:sz w:val="24"/>
        </w:rPr>
        <w:t>las</w:t>
      </w:r>
      <w:r>
        <w:rPr>
          <w:spacing w:val="-13"/>
          <w:sz w:val="24"/>
        </w:rPr>
        <w:t> </w:t>
      </w:r>
      <w:r>
        <w:rPr>
          <w:sz w:val="24"/>
        </w:rPr>
        <w:t>Mercedes</w:t>
      </w:r>
      <w:r>
        <w:rPr>
          <w:spacing w:val="-12"/>
          <w:sz w:val="24"/>
        </w:rPr>
        <w:t> </w:t>
      </w:r>
      <w:r>
        <w:rPr>
          <w:sz w:val="24"/>
        </w:rPr>
        <w:t>de</w:t>
      </w:r>
      <w:r>
        <w:rPr>
          <w:spacing w:val="-14"/>
          <w:sz w:val="24"/>
        </w:rPr>
        <w:t> </w:t>
      </w:r>
      <w:r>
        <w:rPr>
          <w:sz w:val="24"/>
        </w:rPr>
        <w:t>Juliaca, </w:t>
      </w:r>
      <w:r>
        <w:rPr>
          <w:spacing w:val="-2"/>
          <w:sz w:val="24"/>
        </w:rPr>
        <w:t>2023.</w:t>
      </w:r>
    </w:p>
    <w:p>
      <w:pPr>
        <w:pStyle w:val="ListParagraph"/>
        <w:numPr>
          <w:ilvl w:val="2"/>
          <w:numId w:val="12"/>
        </w:numPr>
        <w:tabs>
          <w:tab w:pos="1583" w:val="left" w:leader="none"/>
        </w:tabs>
        <w:spacing w:line="472" w:lineRule="auto" w:before="14" w:after="0"/>
        <w:ind w:left="1583" w:right="989" w:hanging="360"/>
        <w:jc w:val="both"/>
        <w:rPr>
          <w:sz w:val="24"/>
        </w:rPr>
      </w:pPr>
      <w:r>
        <w:rPr>
          <w:sz w:val="24"/>
        </w:rPr>
        <w:t>La liquidez económica influye significativamente en la percepción económica</w:t>
      </w:r>
      <w:r>
        <w:rPr>
          <w:spacing w:val="-14"/>
          <w:sz w:val="24"/>
        </w:rPr>
        <w:t> </w:t>
      </w:r>
      <w:r>
        <w:rPr>
          <w:sz w:val="24"/>
        </w:rPr>
        <w:t>de</w:t>
      </w:r>
      <w:r>
        <w:rPr>
          <w:spacing w:val="-12"/>
          <w:sz w:val="24"/>
        </w:rPr>
        <w:t> </w:t>
      </w:r>
      <w:r>
        <w:rPr>
          <w:sz w:val="24"/>
        </w:rPr>
        <w:t>los</w:t>
      </w:r>
      <w:r>
        <w:rPr>
          <w:spacing w:val="-13"/>
          <w:sz w:val="24"/>
        </w:rPr>
        <w:t> </w:t>
      </w:r>
      <w:r>
        <w:rPr>
          <w:sz w:val="24"/>
        </w:rPr>
        <w:t>comerciantes</w:t>
      </w:r>
      <w:r>
        <w:rPr>
          <w:spacing w:val="-13"/>
          <w:sz w:val="24"/>
        </w:rPr>
        <w:t> </w:t>
      </w:r>
      <w:r>
        <w:rPr>
          <w:sz w:val="24"/>
        </w:rPr>
        <w:t>del</w:t>
      </w:r>
      <w:r>
        <w:rPr>
          <w:spacing w:val="-14"/>
          <w:sz w:val="24"/>
        </w:rPr>
        <w:t> </w:t>
      </w:r>
      <w:r>
        <w:rPr>
          <w:sz w:val="24"/>
        </w:rPr>
        <w:t>centro</w:t>
      </w:r>
      <w:r>
        <w:rPr>
          <w:spacing w:val="-12"/>
          <w:sz w:val="24"/>
        </w:rPr>
        <w:t> </w:t>
      </w:r>
      <w:r>
        <w:rPr>
          <w:sz w:val="24"/>
        </w:rPr>
        <w:t>de</w:t>
      </w:r>
      <w:r>
        <w:rPr>
          <w:spacing w:val="-14"/>
          <w:sz w:val="24"/>
        </w:rPr>
        <w:t> </w:t>
      </w:r>
      <w:r>
        <w:rPr>
          <w:sz w:val="24"/>
        </w:rPr>
        <w:t>abastos</w:t>
      </w:r>
      <w:r>
        <w:rPr>
          <w:spacing w:val="-11"/>
          <w:sz w:val="24"/>
        </w:rPr>
        <w:t> </w:t>
      </w:r>
      <w:r>
        <w:rPr>
          <w:sz w:val="24"/>
        </w:rPr>
        <w:t>las</w:t>
      </w:r>
      <w:r>
        <w:rPr>
          <w:spacing w:val="-13"/>
          <w:sz w:val="24"/>
        </w:rPr>
        <w:t> </w:t>
      </w:r>
      <w:r>
        <w:rPr>
          <w:sz w:val="24"/>
        </w:rPr>
        <w:t>Mercedes</w:t>
      </w:r>
      <w:r>
        <w:rPr>
          <w:spacing w:val="-9"/>
          <w:sz w:val="24"/>
        </w:rPr>
        <w:t> </w:t>
      </w:r>
      <w:r>
        <w:rPr>
          <w:sz w:val="24"/>
        </w:rPr>
        <w:t>de</w:t>
      </w:r>
      <w:r>
        <w:rPr>
          <w:spacing w:val="-14"/>
          <w:sz w:val="24"/>
        </w:rPr>
        <w:t> </w:t>
      </w:r>
      <w:r>
        <w:rPr>
          <w:sz w:val="24"/>
        </w:rPr>
        <w:t>Juliaca, </w:t>
      </w:r>
      <w:r>
        <w:rPr>
          <w:spacing w:val="-2"/>
          <w:sz w:val="24"/>
        </w:rPr>
        <w:t>2023.</w:t>
      </w:r>
    </w:p>
    <w:p>
      <w:pPr>
        <w:pStyle w:val="ListParagraph"/>
        <w:numPr>
          <w:ilvl w:val="2"/>
          <w:numId w:val="12"/>
        </w:numPr>
        <w:tabs>
          <w:tab w:pos="1583" w:val="left" w:leader="none"/>
        </w:tabs>
        <w:spacing w:line="472" w:lineRule="auto" w:before="8" w:after="0"/>
        <w:ind w:left="1583" w:right="989" w:hanging="360"/>
        <w:jc w:val="both"/>
        <w:rPr>
          <w:sz w:val="24"/>
        </w:rPr>
      </w:pPr>
      <w:r>
        <w:rPr>
          <w:sz w:val="24"/>
        </w:rPr>
        <w:t>La seguridad económica influye significativamente en la percepción económica</w:t>
      </w:r>
      <w:r>
        <w:rPr>
          <w:spacing w:val="-14"/>
          <w:sz w:val="24"/>
        </w:rPr>
        <w:t> </w:t>
      </w:r>
      <w:r>
        <w:rPr>
          <w:sz w:val="24"/>
        </w:rPr>
        <w:t>de</w:t>
      </w:r>
      <w:r>
        <w:rPr>
          <w:spacing w:val="-12"/>
          <w:sz w:val="24"/>
        </w:rPr>
        <w:t> </w:t>
      </w:r>
      <w:r>
        <w:rPr>
          <w:sz w:val="24"/>
        </w:rPr>
        <w:t>los</w:t>
      </w:r>
      <w:r>
        <w:rPr>
          <w:spacing w:val="-13"/>
          <w:sz w:val="24"/>
        </w:rPr>
        <w:t> </w:t>
      </w:r>
      <w:r>
        <w:rPr>
          <w:sz w:val="24"/>
        </w:rPr>
        <w:t>comerciantes</w:t>
      </w:r>
      <w:r>
        <w:rPr>
          <w:spacing w:val="-13"/>
          <w:sz w:val="24"/>
        </w:rPr>
        <w:t> </w:t>
      </w:r>
      <w:r>
        <w:rPr>
          <w:sz w:val="24"/>
        </w:rPr>
        <w:t>del</w:t>
      </w:r>
      <w:r>
        <w:rPr>
          <w:spacing w:val="-14"/>
          <w:sz w:val="24"/>
        </w:rPr>
        <w:t> </w:t>
      </w:r>
      <w:r>
        <w:rPr>
          <w:sz w:val="24"/>
        </w:rPr>
        <w:t>centro</w:t>
      </w:r>
      <w:r>
        <w:rPr>
          <w:spacing w:val="-12"/>
          <w:sz w:val="24"/>
        </w:rPr>
        <w:t> </w:t>
      </w:r>
      <w:r>
        <w:rPr>
          <w:sz w:val="24"/>
        </w:rPr>
        <w:t>de</w:t>
      </w:r>
      <w:r>
        <w:rPr>
          <w:spacing w:val="-14"/>
          <w:sz w:val="24"/>
        </w:rPr>
        <w:t> </w:t>
      </w:r>
      <w:r>
        <w:rPr>
          <w:sz w:val="24"/>
        </w:rPr>
        <w:t>abastos</w:t>
      </w:r>
      <w:r>
        <w:rPr>
          <w:spacing w:val="-11"/>
          <w:sz w:val="24"/>
        </w:rPr>
        <w:t> </w:t>
      </w:r>
      <w:r>
        <w:rPr>
          <w:sz w:val="24"/>
        </w:rPr>
        <w:t>las</w:t>
      </w:r>
      <w:r>
        <w:rPr>
          <w:spacing w:val="-13"/>
          <w:sz w:val="24"/>
        </w:rPr>
        <w:t> </w:t>
      </w:r>
      <w:r>
        <w:rPr>
          <w:sz w:val="24"/>
        </w:rPr>
        <w:t>Mercedes</w:t>
      </w:r>
      <w:r>
        <w:rPr>
          <w:spacing w:val="-9"/>
          <w:sz w:val="24"/>
        </w:rPr>
        <w:t> </w:t>
      </w:r>
      <w:r>
        <w:rPr>
          <w:sz w:val="24"/>
        </w:rPr>
        <w:t>de</w:t>
      </w:r>
      <w:r>
        <w:rPr>
          <w:spacing w:val="-14"/>
          <w:sz w:val="24"/>
        </w:rPr>
        <w:t> </w:t>
      </w:r>
      <w:r>
        <w:rPr>
          <w:sz w:val="24"/>
        </w:rPr>
        <w:t>Juliaca, </w:t>
      </w:r>
      <w:r>
        <w:rPr>
          <w:spacing w:val="-2"/>
          <w:sz w:val="24"/>
        </w:rPr>
        <w:t>2023.</w:t>
      </w:r>
    </w:p>
    <w:p>
      <w:pPr>
        <w:pStyle w:val="Heading3"/>
        <w:numPr>
          <w:ilvl w:val="1"/>
          <w:numId w:val="12"/>
        </w:numPr>
        <w:tabs>
          <w:tab w:pos="634" w:val="left" w:leader="none"/>
        </w:tabs>
        <w:spacing w:line="240" w:lineRule="auto" w:before="5" w:after="0"/>
        <w:ind w:left="634" w:right="0" w:hanging="425"/>
        <w:jc w:val="left"/>
      </w:pPr>
      <w:bookmarkStart w:name="_bookmark36" w:id="37"/>
      <w:bookmarkEnd w:id="37"/>
      <w:r>
        <w:rPr>
          <w:b w:val="0"/>
        </w:rPr>
      </w:r>
      <w:r>
        <w:rPr>
          <w:spacing w:val="-2"/>
        </w:rPr>
        <w:t>Variables</w:t>
      </w:r>
    </w:p>
    <w:p>
      <w:pPr>
        <w:pStyle w:val="BodyText"/>
        <w:rPr>
          <w:b/>
        </w:rPr>
      </w:pPr>
    </w:p>
    <w:p>
      <w:pPr>
        <w:pStyle w:val="BodyText"/>
        <w:spacing w:line="480" w:lineRule="auto"/>
        <w:ind w:left="863" w:right="5646"/>
      </w:pPr>
      <w:r>
        <w:rPr/>
        <w:t>VI.</w:t>
      </w:r>
      <w:r>
        <w:rPr>
          <w:spacing w:val="-8"/>
        </w:rPr>
        <w:t> </w:t>
      </w:r>
      <w:r>
        <w:rPr/>
        <w:t>Impuesto</w:t>
      </w:r>
      <w:r>
        <w:rPr>
          <w:spacing w:val="-8"/>
        </w:rPr>
        <w:t> </w:t>
      </w:r>
      <w:r>
        <w:rPr/>
        <w:t>general</w:t>
      </w:r>
      <w:r>
        <w:rPr>
          <w:spacing w:val="-8"/>
        </w:rPr>
        <w:t> </w:t>
      </w:r>
      <w:r>
        <w:rPr/>
        <w:t>de</w:t>
      </w:r>
      <w:r>
        <w:rPr>
          <w:spacing w:val="-8"/>
        </w:rPr>
        <w:t> </w:t>
      </w:r>
      <w:r>
        <w:rPr/>
        <w:t>las</w:t>
      </w:r>
      <w:r>
        <w:rPr>
          <w:spacing w:val="-8"/>
        </w:rPr>
        <w:t> </w:t>
      </w:r>
      <w:r>
        <w:rPr/>
        <w:t>ventas VD. Percepción económica</w:t>
      </w:r>
    </w:p>
    <w:p>
      <w:pPr>
        <w:pStyle w:val="BodyText"/>
        <w:spacing w:after="0" w:line="480" w:lineRule="auto"/>
        <w:sectPr>
          <w:headerReference w:type="default" r:id="rId40"/>
          <w:footerReference w:type="default" r:id="rId41"/>
          <w:pgSz w:w="11910" w:h="16840"/>
          <w:pgMar w:header="0" w:footer="693" w:top="0" w:bottom="880" w:left="1559" w:right="425"/>
        </w:sectPr>
      </w:pPr>
    </w:p>
    <w:p>
      <w:pPr>
        <w:pStyle w:val="Heading3"/>
        <w:numPr>
          <w:ilvl w:val="1"/>
          <w:numId w:val="12"/>
        </w:numPr>
        <w:tabs>
          <w:tab w:pos="568" w:val="left" w:leader="none"/>
          <w:tab w:pos="863" w:val="left" w:leader="none"/>
        </w:tabs>
        <w:spacing w:line="480" w:lineRule="auto" w:before="66" w:after="0"/>
        <w:ind w:left="863" w:right="6073" w:hanging="720"/>
        <w:jc w:val="left"/>
      </w:pPr>
      <w:bookmarkStart w:name="_bookmark37" w:id="38"/>
      <w:bookmarkEnd w:id="38"/>
      <w:r>
        <w:rPr>
          <w:b w:val="0"/>
        </w:rPr>
      </w:r>
      <w:r>
        <w:rPr/>
        <w:t>Operacionalización</w:t>
      </w:r>
      <w:r>
        <w:rPr>
          <w:spacing w:val="-15"/>
        </w:rPr>
        <w:t> </w:t>
      </w:r>
      <w:r>
        <w:rPr/>
        <w:t>de</w:t>
      </w:r>
      <w:r>
        <w:rPr>
          <w:spacing w:val="-15"/>
        </w:rPr>
        <w:t> </w:t>
      </w:r>
      <w:r>
        <w:rPr/>
        <w:t>variables </w:t>
      </w:r>
      <w:bookmarkStart w:name="_bookmark38" w:id="39"/>
      <w:bookmarkEnd w:id="39"/>
      <w:r>
        <w:rPr/>
        <w:t>Tabla</w:t>
      </w:r>
      <w:r>
        <w:rPr/>
        <w:t> 1</w:t>
      </w:r>
    </w:p>
    <w:p>
      <w:pPr>
        <w:spacing w:before="1"/>
        <w:ind w:left="863" w:right="0" w:firstLine="0"/>
        <w:jc w:val="left"/>
        <w:rPr>
          <w:i/>
          <w:sz w:val="24"/>
        </w:rPr>
      </w:pPr>
      <w:bookmarkStart w:name="_bookmark39" w:id="40"/>
      <w:bookmarkEnd w:id="40"/>
      <w:r>
        <w:rPr/>
      </w:r>
      <w:r>
        <w:rPr>
          <w:i/>
          <w:sz w:val="24"/>
        </w:rPr>
        <w:t>Operacionalización</w:t>
      </w:r>
      <w:r>
        <w:rPr>
          <w:i/>
          <w:spacing w:val="-2"/>
          <w:sz w:val="24"/>
        </w:rPr>
        <w:t> </w:t>
      </w:r>
      <w:r>
        <w:rPr>
          <w:i/>
          <w:sz w:val="24"/>
        </w:rPr>
        <w:t>de</w:t>
      </w:r>
      <w:r>
        <w:rPr>
          <w:i/>
          <w:spacing w:val="-2"/>
          <w:sz w:val="24"/>
        </w:rPr>
        <w:t> variables</w:t>
      </w:r>
    </w:p>
    <w:p>
      <w:pPr>
        <w:pStyle w:val="BodyText"/>
        <w:spacing w:before="45" w:after="1"/>
        <w:rPr>
          <w:i/>
          <w:sz w:val="20"/>
        </w:rPr>
      </w:pPr>
    </w:p>
    <w:p>
      <w:pPr>
        <w:pStyle w:val="BodyText"/>
        <w:ind w:left="143"/>
        <w:rPr>
          <w:sz w:val="20"/>
        </w:rPr>
      </w:pPr>
      <w:r>
        <w:rPr>
          <w:sz w:val="20"/>
        </w:rPr>
        <mc:AlternateContent>
          <mc:Choice Requires="wps">
            <w:drawing>
              <wp:inline distT="0" distB="0" distL="0" distR="0">
                <wp:extent cx="5488940" cy="194310"/>
                <wp:effectExtent l="0" t="0" r="0" b="5714"/>
                <wp:docPr id="113" name="Group 113"/>
                <wp:cNvGraphicFramePr>
                  <a:graphicFrameLocks/>
                </wp:cNvGraphicFramePr>
                <a:graphic>
                  <a:graphicData uri="http://schemas.microsoft.com/office/word/2010/wordprocessingGroup">
                    <wpg:wgp>
                      <wpg:cNvPr id="113" name="Group 113"/>
                      <wpg:cNvGrpSpPr/>
                      <wpg:grpSpPr>
                        <a:xfrm>
                          <a:off x="0" y="0"/>
                          <a:ext cx="5488940" cy="194310"/>
                          <a:chExt cx="5488940" cy="194310"/>
                        </a:xfrm>
                      </wpg:grpSpPr>
                      <wps:wsp>
                        <wps:cNvPr id="114" name="Graphic 114"/>
                        <wps:cNvSpPr/>
                        <wps:spPr>
                          <a:xfrm>
                            <a:off x="0" y="6349"/>
                            <a:ext cx="5488940" cy="181610"/>
                          </a:xfrm>
                          <a:custGeom>
                            <a:avLst/>
                            <a:gdLst/>
                            <a:ahLst/>
                            <a:cxnLst/>
                            <a:rect l="l" t="t" r="r" b="b"/>
                            <a:pathLst>
                              <a:path w="5488940" h="181610">
                                <a:moveTo>
                                  <a:pt x="1426210" y="0"/>
                                </a:moveTo>
                                <a:lnTo>
                                  <a:pt x="0" y="0"/>
                                </a:lnTo>
                                <a:lnTo>
                                  <a:pt x="0" y="181610"/>
                                </a:lnTo>
                                <a:lnTo>
                                  <a:pt x="1426210" y="181610"/>
                                </a:lnTo>
                                <a:lnTo>
                                  <a:pt x="1426210" y="0"/>
                                </a:lnTo>
                                <a:close/>
                              </a:path>
                              <a:path w="5488940" h="181610">
                                <a:moveTo>
                                  <a:pt x="5488368" y="0"/>
                                </a:moveTo>
                                <a:lnTo>
                                  <a:pt x="4448238" y="0"/>
                                </a:lnTo>
                                <a:lnTo>
                                  <a:pt x="2719387" y="0"/>
                                </a:lnTo>
                                <a:lnTo>
                                  <a:pt x="1426273" y="0"/>
                                </a:lnTo>
                                <a:lnTo>
                                  <a:pt x="1426273" y="181610"/>
                                </a:lnTo>
                                <a:lnTo>
                                  <a:pt x="2719387" y="181610"/>
                                </a:lnTo>
                                <a:lnTo>
                                  <a:pt x="4448238" y="181610"/>
                                </a:lnTo>
                                <a:lnTo>
                                  <a:pt x="5488368" y="181610"/>
                                </a:lnTo>
                                <a:lnTo>
                                  <a:pt x="5488368" y="0"/>
                                </a:lnTo>
                                <a:close/>
                              </a:path>
                            </a:pathLst>
                          </a:custGeom>
                          <a:solidFill>
                            <a:srgbClr val="D9D9D9"/>
                          </a:solidFill>
                        </wps:spPr>
                        <wps:bodyPr wrap="square" lIns="0" tIns="0" rIns="0" bIns="0" rtlCol="0">
                          <a:prstTxWarp prst="textNoShape">
                            <a:avLst/>
                          </a:prstTxWarp>
                          <a:noAutofit/>
                        </wps:bodyPr>
                      </wps:wsp>
                      <wps:wsp>
                        <wps:cNvPr id="115" name="Graphic 115"/>
                        <wps:cNvSpPr/>
                        <wps:spPr>
                          <a:xfrm>
                            <a:off x="0" y="0"/>
                            <a:ext cx="5488940" cy="194310"/>
                          </a:xfrm>
                          <a:custGeom>
                            <a:avLst/>
                            <a:gdLst/>
                            <a:ahLst/>
                            <a:cxnLst/>
                            <a:rect l="l" t="t" r="r" b="b"/>
                            <a:pathLst>
                              <a:path w="5488940" h="194310">
                                <a:moveTo>
                                  <a:pt x="1427480" y="187960"/>
                                </a:moveTo>
                                <a:lnTo>
                                  <a:pt x="0" y="187960"/>
                                </a:lnTo>
                                <a:lnTo>
                                  <a:pt x="0" y="194310"/>
                                </a:lnTo>
                                <a:lnTo>
                                  <a:pt x="1427480" y="194310"/>
                                </a:lnTo>
                                <a:lnTo>
                                  <a:pt x="1427480" y="187960"/>
                                </a:lnTo>
                                <a:close/>
                              </a:path>
                              <a:path w="5488940" h="194310">
                                <a:moveTo>
                                  <a:pt x="1427480" y="0"/>
                                </a:moveTo>
                                <a:lnTo>
                                  <a:pt x="0" y="0"/>
                                </a:lnTo>
                                <a:lnTo>
                                  <a:pt x="0" y="6350"/>
                                </a:lnTo>
                                <a:lnTo>
                                  <a:pt x="1427480" y="6350"/>
                                </a:lnTo>
                                <a:lnTo>
                                  <a:pt x="1427480" y="0"/>
                                </a:lnTo>
                                <a:close/>
                              </a:path>
                              <a:path w="5488940" h="194310">
                                <a:moveTo>
                                  <a:pt x="5488368" y="187960"/>
                                </a:moveTo>
                                <a:lnTo>
                                  <a:pt x="5488368" y="187960"/>
                                </a:lnTo>
                                <a:lnTo>
                                  <a:pt x="1427543" y="187960"/>
                                </a:lnTo>
                                <a:lnTo>
                                  <a:pt x="1427543" y="194310"/>
                                </a:lnTo>
                                <a:lnTo>
                                  <a:pt x="5488368" y="194310"/>
                                </a:lnTo>
                                <a:lnTo>
                                  <a:pt x="5488368" y="187960"/>
                                </a:lnTo>
                                <a:close/>
                              </a:path>
                              <a:path w="5488940" h="194310">
                                <a:moveTo>
                                  <a:pt x="5488368" y="0"/>
                                </a:moveTo>
                                <a:lnTo>
                                  <a:pt x="5488368" y="0"/>
                                </a:lnTo>
                                <a:lnTo>
                                  <a:pt x="1427543" y="0"/>
                                </a:lnTo>
                                <a:lnTo>
                                  <a:pt x="1427543" y="6350"/>
                                </a:lnTo>
                                <a:lnTo>
                                  <a:pt x="5488368" y="6350"/>
                                </a:lnTo>
                                <a:lnTo>
                                  <a:pt x="5488368" y="0"/>
                                </a:lnTo>
                                <a:close/>
                              </a:path>
                            </a:pathLst>
                          </a:custGeom>
                          <a:solidFill>
                            <a:srgbClr val="000000"/>
                          </a:solidFill>
                        </wps:spPr>
                        <wps:bodyPr wrap="square" lIns="0" tIns="0" rIns="0" bIns="0" rtlCol="0">
                          <a:prstTxWarp prst="textNoShape">
                            <a:avLst/>
                          </a:prstTxWarp>
                          <a:noAutofit/>
                        </wps:bodyPr>
                      </wps:wsp>
                      <wps:wsp>
                        <wps:cNvPr id="116" name="Textbox 116"/>
                        <wps:cNvSpPr txBox="1"/>
                        <wps:spPr>
                          <a:xfrm>
                            <a:off x="67310" y="34925"/>
                            <a:ext cx="551180" cy="139700"/>
                          </a:xfrm>
                          <a:prstGeom prst="rect">
                            <a:avLst/>
                          </a:prstGeom>
                        </wps:spPr>
                        <wps:txbx>
                          <w:txbxContent>
                            <w:p>
                              <w:pPr>
                                <w:spacing w:line="220" w:lineRule="exact" w:before="0"/>
                                <w:ind w:left="0" w:right="0" w:firstLine="0"/>
                                <w:jc w:val="left"/>
                                <w:rPr>
                                  <w:rFonts w:ascii="Calibri"/>
                                  <w:b/>
                                  <w:sz w:val="22"/>
                                </w:rPr>
                              </w:pPr>
                              <w:r>
                                <w:rPr>
                                  <w:rFonts w:ascii="Calibri"/>
                                  <w:b/>
                                  <w:spacing w:val="-2"/>
                                  <w:sz w:val="22"/>
                                </w:rPr>
                                <w:t>Variables</w:t>
                              </w:r>
                            </w:p>
                          </w:txbxContent>
                        </wps:txbx>
                        <wps:bodyPr wrap="square" lIns="0" tIns="0" rIns="0" bIns="0" rtlCol="0">
                          <a:noAutofit/>
                        </wps:bodyPr>
                      </wps:wsp>
                      <wps:wsp>
                        <wps:cNvPr id="117" name="Textbox 117"/>
                        <wps:cNvSpPr txBox="1"/>
                        <wps:spPr>
                          <a:xfrm>
                            <a:off x="1494853" y="34925"/>
                            <a:ext cx="759460" cy="139700"/>
                          </a:xfrm>
                          <a:prstGeom prst="rect">
                            <a:avLst/>
                          </a:prstGeom>
                        </wps:spPr>
                        <wps:txbx>
                          <w:txbxContent>
                            <w:p>
                              <w:pPr>
                                <w:spacing w:line="220" w:lineRule="exact" w:before="0"/>
                                <w:ind w:left="0" w:right="0" w:firstLine="0"/>
                                <w:jc w:val="left"/>
                                <w:rPr>
                                  <w:rFonts w:ascii="Calibri"/>
                                  <w:b/>
                                  <w:sz w:val="22"/>
                                </w:rPr>
                              </w:pPr>
                              <w:r>
                                <w:rPr>
                                  <w:rFonts w:ascii="Calibri"/>
                                  <w:b/>
                                  <w:spacing w:val="-2"/>
                                  <w:sz w:val="22"/>
                                </w:rPr>
                                <w:t>Dimensiones</w:t>
                              </w:r>
                            </w:p>
                          </w:txbxContent>
                        </wps:txbx>
                        <wps:bodyPr wrap="square" lIns="0" tIns="0" rIns="0" bIns="0" rtlCol="0">
                          <a:noAutofit/>
                        </wps:bodyPr>
                      </wps:wsp>
                      <wps:wsp>
                        <wps:cNvPr id="118" name="Textbox 118"/>
                        <wps:cNvSpPr txBox="1"/>
                        <wps:spPr>
                          <a:xfrm>
                            <a:off x="2787967" y="34925"/>
                            <a:ext cx="685800" cy="139700"/>
                          </a:xfrm>
                          <a:prstGeom prst="rect">
                            <a:avLst/>
                          </a:prstGeom>
                        </wps:spPr>
                        <wps:txbx>
                          <w:txbxContent>
                            <w:p>
                              <w:pPr>
                                <w:spacing w:line="220" w:lineRule="exact" w:before="0"/>
                                <w:ind w:left="0" w:right="0" w:firstLine="0"/>
                                <w:jc w:val="left"/>
                                <w:rPr>
                                  <w:rFonts w:ascii="Calibri"/>
                                  <w:b/>
                                  <w:sz w:val="22"/>
                                </w:rPr>
                              </w:pPr>
                              <w:r>
                                <w:rPr>
                                  <w:rFonts w:ascii="Calibri"/>
                                  <w:b/>
                                  <w:spacing w:val="-2"/>
                                  <w:sz w:val="22"/>
                                </w:rPr>
                                <w:t>Indicadores</w:t>
                              </w:r>
                            </w:p>
                          </w:txbxContent>
                        </wps:txbx>
                        <wps:bodyPr wrap="square" lIns="0" tIns="0" rIns="0" bIns="0" rtlCol="0">
                          <a:noAutofit/>
                        </wps:bodyPr>
                      </wps:wsp>
                      <wps:wsp>
                        <wps:cNvPr id="119" name="Textbox 119"/>
                        <wps:cNvSpPr txBox="1"/>
                        <wps:spPr>
                          <a:xfrm>
                            <a:off x="4516691" y="34925"/>
                            <a:ext cx="736600" cy="139700"/>
                          </a:xfrm>
                          <a:prstGeom prst="rect">
                            <a:avLst/>
                          </a:prstGeom>
                        </wps:spPr>
                        <wps:txbx>
                          <w:txbxContent>
                            <w:p>
                              <w:pPr>
                                <w:spacing w:line="220" w:lineRule="exact" w:before="0"/>
                                <w:ind w:left="0" w:right="0" w:firstLine="0"/>
                                <w:jc w:val="left"/>
                                <w:rPr>
                                  <w:rFonts w:ascii="Calibri"/>
                                  <w:b/>
                                  <w:sz w:val="22"/>
                                </w:rPr>
                              </w:pPr>
                              <w:r>
                                <w:rPr>
                                  <w:rFonts w:ascii="Calibri"/>
                                  <w:b/>
                                  <w:spacing w:val="-2"/>
                                  <w:sz w:val="22"/>
                                </w:rPr>
                                <w:t>Instrumento</w:t>
                              </w:r>
                            </w:p>
                          </w:txbxContent>
                        </wps:txbx>
                        <wps:bodyPr wrap="square" lIns="0" tIns="0" rIns="0" bIns="0" rtlCol="0">
                          <a:noAutofit/>
                        </wps:bodyPr>
                      </wps:wsp>
                    </wpg:wgp>
                  </a:graphicData>
                </a:graphic>
              </wp:inline>
            </w:drawing>
          </mc:Choice>
          <mc:Fallback>
            <w:pict>
              <v:group style="width:432.2pt;height:15.3pt;mso-position-horizontal-relative:char;mso-position-vertical-relative:line" id="docshapegroup82" coordorigin="0,0" coordsize="8644,306">
                <v:shape style="position:absolute;left:0;top:10;width:8644;height:286" id="docshape83" coordorigin="0,10" coordsize="8644,286" path="m2246,10l0,10,0,296,2246,296,2246,10xm8643,10l7005,10,4283,10,2246,10,2246,296,4283,296,7005,296,8643,296,8643,10xe" filled="true" fillcolor="#d9d9d9" stroked="false">
                  <v:path arrowok="t"/>
                  <v:fill type="solid"/>
                </v:shape>
                <v:shape style="position:absolute;left:0;top:0;width:8644;height:306" id="docshape84" coordorigin="0,0" coordsize="8644,306" path="m2248,296l0,296,0,306,2248,306,2248,296xm2248,0l0,0,0,10,2248,10,2248,0xm8643,296l7017,296,7007,296,4295,296,4285,296,2258,296,2248,296,2248,306,2258,306,4285,306,4295,306,7007,306,7017,306,8643,306,8643,296xm8643,0l7017,0,7007,0,4295,0,4285,0,2258,0,2248,0,2248,10,2258,10,4285,10,4295,10,7007,10,7017,10,8643,10,8643,0xe" filled="true" fillcolor="#000000" stroked="false">
                  <v:path arrowok="t"/>
                  <v:fill type="solid"/>
                </v:shape>
                <v:shape style="position:absolute;left:106;top:55;width:868;height:220" type="#_x0000_t202" id="docshape85" filled="false" stroked="false">
                  <v:textbox inset="0,0,0,0">
                    <w:txbxContent>
                      <w:p>
                        <w:pPr>
                          <w:spacing w:line="220" w:lineRule="exact" w:before="0"/>
                          <w:ind w:left="0" w:right="0" w:firstLine="0"/>
                          <w:jc w:val="left"/>
                          <w:rPr>
                            <w:rFonts w:ascii="Calibri"/>
                            <w:b/>
                            <w:sz w:val="22"/>
                          </w:rPr>
                        </w:pPr>
                        <w:r>
                          <w:rPr>
                            <w:rFonts w:ascii="Calibri"/>
                            <w:b/>
                            <w:spacing w:val="-2"/>
                            <w:sz w:val="22"/>
                          </w:rPr>
                          <w:t>Variables</w:t>
                        </w:r>
                      </w:p>
                    </w:txbxContent>
                  </v:textbox>
                  <w10:wrap type="none"/>
                </v:shape>
                <v:shape style="position:absolute;left:2354;top:55;width:1196;height:220" type="#_x0000_t202" id="docshape86" filled="false" stroked="false">
                  <v:textbox inset="0,0,0,0">
                    <w:txbxContent>
                      <w:p>
                        <w:pPr>
                          <w:spacing w:line="220" w:lineRule="exact" w:before="0"/>
                          <w:ind w:left="0" w:right="0" w:firstLine="0"/>
                          <w:jc w:val="left"/>
                          <w:rPr>
                            <w:rFonts w:ascii="Calibri"/>
                            <w:b/>
                            <w:sz w:val="22"/>
                          </w:rPr>
                        </w:pPr>
                        <w:r>
                          <w:rPr>
                            <w:rFonts w:ascii="Calibri"/>
                            <w:b/>
                            <w:spacing w:val="-2"/>
                            <w:sz w:val="22"/>
                          </w:rPr>
                          <w:t>Dimensiones</w:t>
                        </w:r>
                      </w:p>
                    </w:txbxContent>
                  </v:textbox>
                  <w10:wrap type="none"/>
                </v:shape>
                <v:shape style="position:absolute;left:4390;top:55;width:1080;height:220" type="#_x0000_t202" id="docshape87" filled="false" stroked="false">
                  <v:textbox inset="0,0,0,0">
                    <w:txbxContent>
                      <w:p>
                        <w:pPr>
                          <w:spacing w:line="220" w:lineRule="exact" w:before="0"/>
                          <w:ind w:left="0" w:right="0" w:firstLine="0"/>
                          <w:jc w:val="left"/>
                          <w:rPr>
                            <w:rFonts w:ascii="Calibri"/>
                            <w:b/>
                            <w:sz w:val="22"/>
                          </w:rPr>
                        </w:pPr>
                        <w:r>
                          <w:rPr>
                            <w:rFonts w:ascii="Calibri"/>
                            <w:b/>
                            <w:spacing w:val="-2"/>
                            <w:sz w:val="22"/>
                          </w:rPr>
                          <w:t>Indicadores</w:t>
                        </w:r>
                      </w:p>
                    </w:txbxContent>
                  </v:textbox>
                  <w10:wrap type="none"/>
                </v:shape>
                <v:shape style="position:absolute;left:7112;top:55;width:1160;height:220" type="#_x0000_t202" id="docshape88" filled="false" stroked="false">
                  <v:textbox inset="0,0,0,0">
                    <w:txbxContent>
                      <w:p>
                        <w:pPr>
                          <w:spacing w:line="220" w:lineRule="exact" w:before="0"/>
                          <w:ind w:left="0" w:right="0" w:firstLine="0"/>
                          <w:jc w:val="left"/>
                          <w:rPr>
                            <w:rFonts w:ascii="Calibri"/>
                            <w:b/>
                            <w:sz w:val="22"/>
                          </w:rPr>
                        </w:pPr>
                        <w:r>
                          <w:rPr>
                            <w:rFonts w:ascii="Calibri"/>
                            <w:b/>
                            <w:spacing w:val="-2"/>
                            <w:sz w:val="22"/>
                          </w:rPr>
                          <w:t>Instrumento</w:t>
                        </w:r>
                      </w:p>
                    </w:txbxContent>
                  </v:textbox>
                  <w10:wrap type="none"/>
                </v:shape>
              </v:group>
            </w:pict>
          </mc:Fallback>
        </mc:AlternateContent>
      </w:r>
      <w:r>
        <w:rPr>
          <w:sz w:val="20"/>
        </w:rPr>
      </w:r>
    </w:p>
    <w:p>
      <w:pPr>
        <w:pStyle w:val="BodyText"/>
        <w:spacing w:after="0"/>
        <w:rPr>
          <w:sz w:val="20"/>
        </w:rPr>
        <w:sectPr>
          <w:headerReference w:type="default" r:id="rId42"/>
          <w:footerReference w:type="default" r:id="rId43"/>
          <w:pgSz w:w="11910" w:h="16840"/>
          <w:pgMar w:header="0" w:footer="693" w:top="1340" w:bottom="880" w:left="1559" w:right="425"/>
          <w:pgNumType w:start="37"/>
        </w:sectPr>
      </w:pPr>
    </w:p>
    <w:p>
      <w:pPr>
        <w:spacing w:line="235" w:lineRule="exact" w:before="0"/>
        <w:ind w:left="609" w:right="0" w:firstLine="0"/>
        <w:jc w:val="left"/>
        <w:rPr>
          <w:rFonts w:ascii="Calibri"/>
          <w:sz w:val="22"/>
        </w:rPr>
      </w:pPr>
      <w:r>
        <w:rPr>
          <w:rFonts w:ascii="Calibri"/>
          <w:spacing w:val="-2"/>
          <w:sz w:val="22"/>
        </w:rPr>
        <w:t>Variable</w:t>
      </w:r>
    </w:p>
    <w:p>
      <w:pPr>
        <w:spacing w:line="268" w:lineRule="exact" w:before="0"/>
        <w:ind w:left="609" w:right="0" w:firstLine="0"/>
        <w:jc w:val="left"/>
        <w:rPr>
          <w:rFonts w:ascii="Calibri"/>
          <w:sz w:val="22"/>
        </w:rPr>
      </w:pPr>
      <w:r>
        <w:rPr>
          <w:rFonts w:ascii="Calibri"/>
          <w:spacing w:val="-2"/>
          <w:sz w:val="22"/>
        </w:rPr>
        <w:t>Independiente</w:t>
      </w:r>
    </w:p>
    <w:p>
      <w:pPr>
        <w:pStyle w:val="BodyText"/>
        <w:rPr>
          <w:rFonts w:ascii="Calibri"/>
          <w:sz w:val="22"/>
        </w:rPr>
      </w:pPr>
    </w:p>
    <w:p>
      <w:pPr>
        <w:pStyle w:val="ListParagraph"/>
        <w:numPr>
          <w:ilvl w:val="0"/>
          <w:numId w:val="13"/>
        </w:numPr>
        <w:tabs>
          <w:tab w:pos="607" w:val="left" w:leader="none"/>
          <w:tab w:pos="609" w:val="left" w:leader="none"/>
        </w:tabs>
        <w:spacing w:line="240" w:lineRule="auto" w:before="1" w:after="0"/>
        <w:ind w:left="609" w:right="27" w:hanging="361"/>
        <w:jc w:val="left"/>
        <w:rPr>
          <w:rFonts w:ascii="Calibri"/>
          <w:b/>
          <w:sz w:val="22"/>
        </w:rPr>
      </w:pPr>
      <w:r>
        <w:rPr>
          <w:rFonts w:ascii="Calibri"/>
          <w:b/>
          <w:sz w:val="22"/>
        </w:rPr>
        <w:t>Impuesto</w:t>
      </w:r>
      <w:r>
        <w:rPr>
          <w:rFonts w:ascii="Calibri"/>
          <w:b/>
          <w:spacing w:val="-13"/>
          <w:sz w:val="22"/>
        </w:rPr>
        <w:t> </w:t>
      </w:r>
      <w:r>
        <w:rPr>
          <w:rFonts w:ascii="Calibri"/>
          <w:b/>
          <w:sz w:val="22"/>
        </w:rPr>
        <w:t>General a las Ventas</w:t>
      </w:r>
    </w:p>
    <w:p>
      <w:pPr>
        <w:pStyle w:val="BodyText"/>
        <w:rPr>
          <w:rFonts w:ascii="Calibri"/>
          <w:b/>
          <w:sz w:val="22"/>
        </w:rPr>
      </w:pPr>
    </w:p>
    <w:p>
      <w:pPr>
        <w:spacing w:line="240" w:lineRule="auto" w:before="0"/>
        <w:ind w:left="249" w:right="0" w:firstLine="0"/>
        <w:jc w:val="left"/>
        <w:rPr>
          <w:rFonts w:ascii="Calibri" w:hAnsi="Calibri"/>
          <w:i/>
          <w:sz w:val="22"/>
        </w:rPr>
      </w:pPr>
      <w:r>
        <w:rPr>
          <w:rFonts w:ascii="Calibri" w:hAnsi="Calibri"/>
          <w:b/>
          <w:sz w:val="22"/>
        </w:rPr>
        <w:t>Definición: </w:t>
      </w:r>
      <w:r>
        <w:rPr>
          <w:rFonts w:ascii="Calibri" w:hAnsi="Calibri"/>
          <w:i/>
          <w:sz w:val="22"/>
        </w:rPr>
        <w:t>Según la Sunat (2021), el IGV tiene como propósito principal generar ingresos para el Estado a través del consumo, aplicándose sobre la venta de bienes, la prestación de servicios, la utilización de servicios en el exterior y la importación</w:t>
      </w:r>
      <w:r>
        <w:rPr>
          <w:rFonts w:ascii="Calibri" w:hAnsi="Calibri"/>
          <w:i/>
          <w:spacing w:val="-13"/>
          <w:sz w:val="22"/>
        </w:rPr>
        <w:t> </w:t>
      </w:r>
      <w:r>
        <w:rPr>
          <w:rFonts w:ascii="Calibri" w:hAnsi="Calibri"/>
          <w:i/>
          <w:sz w:val="22"/>
        </w:rPr>
        <w:t>de</w:t>
      </w:r>
      <w:r>
        <w:rPr>
          <w:rFonts w:ascii="Calibri" w:hAnsi="Calibri"/>
          <w:i/>
          <w:spacing w:val="-12"/>
          <w:sz w:val="22"/>
        </w:rPr>
        <w:t> </w:t>
      </w:r>
      <w:r>
        <w:rPr>
          <w:rFonts w:ascii="Calibri" w:hAnsi="Calibri"/>
          <w:i/>
          <w:sz w:val="22"/>
        </w:rPr>
        <w:t>bienes. Este impuesto puede influir en la actividad económica de los </w:t>
      </w:r>
      <w:r>
        <w:rPr>
          <w:rFonts w:ascii="Calibri" w:hAnsi="Calibri"/>
          <w:i/>
          <w:spacing w:val="-2"/>
          <w:sz w:val="22"/>
        </w:rPr>
        <w:t>comerciantes, </w:t>
      </w:r>
      <w:r>
        <w:rPr>
          <w:rFonts w:ascii="Calibri" w:hAnsi="Calibri"/>
          <w:i/>
          <w:sz w:val="22"/>
        </w:rPr>
        <w:t>afectando su solidez financiera y su habilidad para satisfacer sus </w:t>
      </w:r>
      <w:r>
        <w:rPr>
          <w:rFonts w:ascii="Calibri" w:hAnsi="Calibri"/>
          <w:i/>
          <w:spacing w:val="-2"/>
          <w:sz w:val="22"/>
        </w:rPr>
        <w:t>obligaciones tributarias.</w:t>
      </w:r>
    </w:p>
    <w:p>
      <w:pPr>
        <w:pStyle w:val="ListParagraph"/>
        <w:numPr>
          <w:ilvl w:val="1"/>
          <w:numId w:val="13"/>
        </w:numPr>
        <w:tabs>
          <w:tab w:pos="374" w:val="left" w:leader="none"/>
        </w:tabs>
        <w:spacing w:line="235" w:lineRule="exact" w:before="0" w:after="0"/>
        <w:ind w:left="374" w:right="38" w:hanging="374"/>
        <w:jc w:val="right"/>
        <w:rPr>
          <w:rFonts w:ascii="Calibri"/>
          <w:sz w:val="22"/>
        </w:rPr>
      </w:pPr>
      <w:r>
        <w:rPr/>
        <w:br w:type="column"/>
      </w:r>
      <w:r>
        <w:rPr>
          <w:rFonts w:ascii="Calibri"/>
          <w:spacing w:val="-2"/>
          <w:sz w:val="22"/>
        </w:rPr>
        <w:t>Estabilidad</w:t>
      </w:r>
    </w:p>
    <w:p>
      <w:pPr>
        <w:spacing w:line="268" w:lineRule="exact" w:before="0"/>
        <w:ind w:left="0" w:right="39" w:firstLine="0"/>
        <w:jc w:val="right"/>
        <w:rPr>
          <w:rFonts w:ascii="Calibri" w:hAnsi="Calibri"/>
          <w:sz w:val="22"/>
        </w:rPr>
      </w:pPr>
      <w:r>
        <w:rPr>
          <w:rFonts w:ascii="Calibri" w:hAnsi="Calibri"/>
          <w:spacing w:val="-2"/>
          <w:sz w:val="22"/>
        </w:rPr>
        <w:t>económica</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268"/>
        <w:rPr>
          <w:rFonts w:ascii="Calibri"/>
          <w:sz w:val="22"/>
        </w:rPr>
      </w:pPr>
    </w:p>
    <w:p>
      <w:pPr>
        <w:pStyle w:val="ListParagraph"/>
        <w:numPr>
          <w:ilvl w:val="1"/>
          <w:numId w:val="13"/>
        </w:numPr>
        <w:tabs>
          <w:tab w:pos="556" w:val="left" w:leader="none"/>
        </w:tabs>
        <w:spacing w:line="240" w:lineRule="auto" w:before="0" w:after="0"/>
        <w:ind w:left="556" w:right="0" w:hanging="374"/>
        <w:jc w:val="left"/>
        <w:rPr>
          <w:rFonts w:ascii="Calibri"/>
          <w:sz w:val="22"/>
        </w:rPr>
      </w:pPr>
      <w:r>
        <w:rPr>
          <w:rFonts w:ascii="Calibri"/>
          <w:spacing w:val="-2"/>
          <w:sz w:val="22"/>
        </w:rPr>
        <w:t>Liquidez</w:t>
      </w:r>
    </w:p>
    <w:p>
      <w:pPr>
        <w:spacing w:before="1"/>
        <w:ind w:left="558" w:right="0" w:firstLine="0"/>
        <w:jc w:val="left"/>
        <w:rPr>
          <w:rFonts w:ascii="Calibri" w:hAnsi="Calibri"/>
          <w:sz w:val="22"/>
        </w:rPr>
      </w:pPr>
      <w:r>
        <w:rPr>
          <w:rFonts w:ascii="Calibri" w:hAnsi="Calibri"/>
          <w:spacing w:val="-2"/>
          <w:sz w:val="22"/>
        </w:rPr>
        <w:t>económica</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
        <w:rPr>
          <w:rFonts w:ascii="Calibri"/>
          <w:sz w:val="22"/>
        </w:rPr>
      </w:pPr>
    </w:p>
    <w:p>
      <w:pPr>
        <w:pStyle w:val="ListParagraph"/>
        <w:numPr>
          <w:ilvl w:val="1"/>
          <w:numId w:val="13"/>
        </w:numPr>
        <w:tabs>
          <w:tab w:pos="556" w:val="left" w:leader="none"/>
          <w:tab w:pos="558" w:val="left" w:leader="none"/>
        </w:tabs>
        <w:spacing w:line="240" w:lineRule="auto" w:before="0" w:after="0"/>
        <w:ind w:left="558" w:right="39" w:hanging="376"/>
        <w:jc w:val="left"/>
        <w:rPr>
          <w:rFonts w:ascii="Calibri" w:hAnsi="Calibri"/>
          <w:sz w:val="22"/>
        </w:rPr>
      </w:pPr>
      <w:r>
        <w:rPr>
          <w:rFonts w:ascii="Calibri" w:hAnsi="Calibri"/>
          <w:spacing w:val="-2"/>
          <w:sz w:val="22"/>
        </w:rPr>
        <w:t>Seguridad económica</w:t>
      </w:r>
    </w:p>
    <w:p>
      <w:pPr>
        <w:pStyle w:val="ListParagraph"/>
        <w:numPr>
          <w:ilvl w:val="2"/>
          <w:numId w:val="14"/>
        </w:numPr>
        <w:tabs>
          <w:tab w:pos="922" w:val="left" w:leader="none"/>
        </w:tabs>
        <w:spacing w:line="235" w:lineRule="exact" w:before="0" w:after="0"/>
        <w:ind w:left="922" w:right="0" w:hanging="673"/>
        <w:jc w:val="left"/>
        <w:rPr>
          <w:rFonts w:ascii="Calibri" w:hAnsi="Calibri"/>
          <w:sz w:val="22"/>
        </w:rPr>
      </w:pPr>
      <w:r>
        <w:rPr/>
        <w:br w:type="column"/>
      </w:r>
      <w:r>
        <w:rPr>
          <w:rFonts w:ascii="Calibri" w:hAnsi="Calibri"/>
          <w:sz w:val="22"/>
        </w:rPr>
        <w:t>Variación</w:t>
      </w:r>
      <w:r>
        <w:rPr>
          <w:rFonts w:ascii="Calibri" w:hAnsi="Calibri"/>
          <w:spacing w:val="-4"/>
          <w:sz w:val="22"/>
        </w:rPr>
        <w:t> </w:t>
      </w:r>
      <w:r>
        <w:rPr>
          <w:rFonts w:ascii="Calibri" w:hAnsi="Calibri"/>
          <w:spacing w:val="-5"/>
          <w:sz w:val="22"/>
        </w:rPr>
        <w:t>de</w:t>
      </w:r>
    </w:p>
    <w:p>
      <w:pPr>
        <w:spacing w:before="0"/>
        <w:ind w:left="925" w:right="280" w:firstLine="0"/>
        <w:jc w:val="left"/>
        <w:rPr>
          <w:rFonts w:ascii="Calibri" w:hAnsi="Calibri"/>
          <w:sz w:val="22"/>
        </w:rPr>
      </w:pPr>
      <w:r>
        <w:rPr>
          <w:rFonts w:ascii="Calibri" w:hAnsi="Calibri"/>
          <w:sz w:val="22"/>
        </w:rPr>
        <w:t>ingresos</w:t>
      </w:r>
      <w:r>
        <w:rPr>
          <w:rFonts w:ascii="Calibri" w:hAnsi="Calibri"/>
          <w:spacing w:val="-13"/>
          <w:sz w:val="22"/>
        </w:rPr>
        <w:t> </w:t>
      </w:r>
      <w:r>
        <w:rPr>
          <w:rFonts w:ascii="Calibri" w:hAnsi="Calibri"/>
          <w:sz w:val="22"/>
        </w:rPr>
        <w:t>después del pago del IGV</w:t>
      </w:r>
    </w:p>
    <w:p>
      <w:pPr>
        <w:pStyle w:val="ListParagraph"/>
        <w:numPr>
          <w:ilvl w:val="2"/>
          <w:numId w:val="14"/>
        </w:numPr>
        <w:tabs>
          <w:tab w:pos="922" w:val="left" w:leader="none"/>
        </w:tabs>
        <w:spacing w:line="268" w:lineRule="exact" w:before="0" w:after="0"/>
        <w:ind w:left="922" w:right="0" w:hanging="673"/>
        <w:jc w:val="left"/>
        <w:rPr>
          <w:rFonts w:ascii="Calibri"/>
          <w:sz w:val="22"/>
        </w:rPr>
      </w:pPr>
      <w:r>
        <w:rPr>
          <w:rFonts w:ascii="Calibri"/>
          <w:sz w:val="22"/>
        </w:rPr>
        <w:t>Grado</w:t>
      </w:r>
      <w:r>
        <w:rPr>
          <w:rFonts w:ascii="Calibri"/>
          <w:spacing w:val="-4"/>
          <w:sz w:val="22"/>
        </w:rPr>
        <w:t> </w:t>
      </w:r>
      <w:r>
        <w:rPr>
          <w:rFonts w:ascii="Calibri"/>
          <w:spacing w:val="-5"/>
          <w:sz w:val="22"/>
        </w:rPr>
        <w:t>de</w:t>
      </w:r>
    </w:p>
    <w:p>
      <w:pPr>
        <w:spacing w:before="0"/>
        <w:ind w:left="925" w:right="0" w:firstLine="0"/>
        <w:jc w:val="left"/>
        <w:rPr>
          <w:rFonts w:ascii="Calibri"/>
          <w:sz w:val="22"/>
        </w:rPr>
      </w:pPr>
      <w:r>
        <w:rPr>
          <w:rFonts w:ascii="Calibri"/>
          <w:sz w:val="22"/>
        </w:rPr>
        <w:t>previsibilidad</w:t>
      </w:r>
      <w:r>
        <w:rPr>
          <w:rFonts w:ascii="Calibri"/>
          <w:spacing w:val="-13"/>
          <w:sz w:val="22"/>
        </w:rPr>
        <w:t> </w:t>
      </w:r>
      <w:r>
        <w:rPr>
          <w:rFonts w:ascii="Calibri"/>
          <w:sz w:val="22"/>
        </w:rPr>
        <w:t>en</w:t>
      </w:r>
      <w:r>
        <w:rPr>
          <w:rFonts w:ascii="Calibri"/>
          <w:spacing w:val="-12"/>
          <w:sz w:val="22"/>
        </w:rPr>
        <w:t> </w:t>
      </w:r>
      <w:r>
        <w:rPr>
          <w:rFonts w:ascii="Calibri"/>
          <w:sz w:val="22"/>
        </w:rPr>
        <w:t>los costos operativos</w:t>
      </w:r>
    </w:p>
    <w:p>
      <w:pPr>
        <w:pStyle w:val="ListParagraph"/>
        <w:numPr>
          <w:ilvl w:val="2"/>
          <w:numId w:val="14"/>
        </w:numPr>
        <w:tabs>
          <w:tab w:pos="922" w:val="left" w:leader="none"/>
          <w:tab w:pos="925" w:val="left" w:leader="none"/>
        </w:tabs>
        <w:spacing w:line="240" w:lineRule="auto" w:before="1" w:after="0"/>
        <w:ind w:left="925" w:right="61" w:hanging="676"/>
        <w:jc w:val="left"/>
        <w:rPr>
          <w:rFonts w:ascii="Calibri"/>
          <w:sz w:val="22"/>
        </w:rPr>
      </w:pPr>
      <w:r>
        <w:rPr>
          <w:rFonts w:ascii="Calibri"/>
          <w:sz w:val="22"/>
        </w:rPr>
        <w:t>Nivel</w:t>
      </w:r>
      <w:r>
        <w:rPr>
          <w:rFonts w:ascii="Calibri"/>
          <w:spacing w:val="-13"/>
          <w:sz w:val="22"/>
        </w:rPr>
        <w:t> </w:t>
      </w:r>
      <w:r>
        <w:rPr>
          <w:rFonts w:ascii="Calibri"/>
          <w:sz w:val="22"/>
        </w:rPr>
        <w:t>de</w:t>
      </w:r>
      <w:r>
        <w:rPr>
          <w:rFonts w:ascii="Calibri"/>
          <w:spacing w:val="-12"/>
          <w:sz w:val="22"/>
        </w:rPr>
        <w:t> </w:t>
      </w:r>
      <w:r>
        <w:rPr>
          <w:rFonts w:ascii="Calibri"/>
          <w:sz w:val="22"/>
        </w:rPr>
        <w:t>estabilidad en las ventas </w:t>
      </w:r>
      <w:r>
        <w:rPr>
          <w:rFonts w:ascii="Calibri"/>
          <w:spacing w:val="-2"/>
          <w:sz w:val="22"/>
        </w:rPr>
        <w:t>anuales</w:t>
      </w:r>
    </w:p>
    <w:p>
      <w:pPr>
        <w:pStyle w:val="ListParagraph"/>
        <w:numPr>
          <w:ilvl w:val="2"/>
          <w:numId w:val="15"/>
        </w:numPr>
        <w:tabs>
          <w:tab w:pos="922" w:val="left" w:leader="none"/>
        </w:tabs>
        <w:spacing w:line="267" w:lineRule="exact" w:before="0" w:after="0"/>
        <w:ind w:left="922" w:right="0" w:hanging="673"/>
        <w:jc w:val="left"/>
        <w:rPr>
          <w:rFonts w:ascii="Calibri"/>
          <w:sz w:val="22"/>
        </w:rPr>
      </w:pPr>
      <w:r>
        <w:rPr>
          <w:rFonts w:ascii="Calibri"/>
          <w:sz w:val="22"/>
        </w:rPr>
        <w:t>Disponibilidad</w:t>
      </w:r>
      <w:r>
        <w:rPr>
          <w:rFonts w:ascii="Calibri"/>
          <w:spacing w:val="-4"/>
          <w:sz w:val="22"/>
        </w:rPr>
        <w:t> </w:t>
      </w:r>
      <w:r>
        <w:rPr>
          <w:rFonts w:ascii="Calibri"/>
          <w:spacing w:val="-5"/>
          <w:sz w:val="22"/>
        </w:rPr>
        <w:t>de</w:t>
      </w:r>
    </w:p>
    <w:p>
      <w:pPr>
        <w:spacing w:before="1"/>
        <w:ind w:left="925" w:right="0" w:firstLine="0"/>
        <w:jc w:val="left"/>
        <w:rPr>
          <w:rFonts w:ascii="Calibri"/>
          <w:sz w:val="22"/>
        </w:rPr>
      </w:pPr>
      <w:r>
        <w:rPr>
          <w:rFonts w:ascii="Calibri"/>
          <w:sz w:val="22"/>
        </w:rPr>
        <w:t>recursos</w:t>
      </w:r>
      <w:r>
        <w:rPr>
          <w:rFonts w:ascii="Calibri"/>
          <w:spacing w:val="-13"/>
          <w:sz w:val="22"/>
        </w:rPr>
        <w:t> </w:t>
      </w:r>
      <w:r>
        <w:rPr>
          <w:rFonts w:ascii="Calibri"/>
          <w:sz w:val="22"/>
        </w:rPr>
        <w:t>para</w:t>
      </w:r>
      <w:r>
        <w:rPr>
          <w:rFonts w:ascii="Calibri"/>
          <w:spacing w:val="-12"/>
          <w:sz w:val="22"/>
        </w:rPr>
        <w:t> </w:t>
      </w:r>
      <w:r>
        <w:rPr>
          <w:rFonts w:ascii="Calibri"/>
          <w:sz w:val="22"/>
        </w:rPr>
        <w:t>pagar el IGV</w:t>
      </w:r>
    </w:p>
    <w:p>
      <w:pPr>
        <w:pStyle w:val="ListParagraph"/>
        <w:numPr>
          <w:ilvl w:val="2"/>
          <w:numId w:val="15"/>
        </w:numPr>
        <w:tabs>
          <w:tab w:pos="922" w:val="left" w:leader="none"/>
          <w:tab w:pos="925" w:val="left" w:leader="none"/>
        </w:tabs>
        <w:spacing w:line="240" w:lineRule="auto" w:before="0" w:after="0"/>
        <w:ind w:left="925" w:right="103" w:hanging="676"/>
        <w:jc w:val="left"/>
        <w:rPr>
          <w:rFonts w:ascii="Calibri"/>
          <w:sz w:val="22"/>
        </w:rPr>
      </w:pPr>
      <w:r>
        <w:rPr>
          <w:rFonts w:ascii="Calibri"/>
          <w:sz w:val="22"/>
        </w:rPr>
        <w:t>Grado</w:t>
      </w:r>
      <w:r>
        <w:rPr>
          <w:rFonts w:ascii="Calibri"/>
          <w:spacing w:val="-13"/>
          <w:sz w:val="22"/>
        </w:rPr>
        <w:t> </w:t>
      </w:r>
      <w:r>
        <w:rPr>
          <w:rFonts w:ascii="Calibri"/>
          <w:sz w:val="22"/>
        </w:rPr>
        <w:t>de</w:t>
      </w:r>
      <w:r>
        <w:rPr>
          <w:rFonts w:ascii="Calibri"/>
          <w:spacing w:val="-12"/>
          <w:sz w:val="22"/>
        </w:rPr>
        <w:t> </w:t>
      </w:r>
      <w:r>
        <w:rPr>
          <w:rFonts w:ascii="Calibri"/>
          <w:sz w:val="22"/>
        </w:rPr>
        <w:t>dificultad para cubrir </w:t>
      </w:r>
      <w:r>
        <w:rPr>
          <w:rFonts w:ascii="Calibri"/>
          <w:spacing w:val="-2"/>
          <w:sz w:val="22"/>
        </w:rPr>
        <w:t>obligaciones </w:t>
      </w:r>
      <w:r>
        <w:rPr>
          <w:rFonts w:ascii="Calibri"/>
          <w:sz w:val="22"/>
        </w:rPr>
        <w:t>mensuales tras el pago del IGV.</w:t>
      </w:r>
    </w:p>
    <w:p>
      <w:pPr>
        <w:pStyle w:val="ListParagraph"/>
        <w:numPr>
          <w:ilvl w:val="2"/>
          <w:numId w:val="15"/>
        </w:numPr>
        <w:tabs>
          <w:tab w:pos="922" w:val="left" w:leader="none"/>
        </w:tabs>
        <w:spacing w:line="268" w:lineRule="exact" w:before="1" w:after="0"/>
        <w:ind w:left="922" w:right="0" w:hanging="673"/>
        <w:jc w:val="left"/>
        <w:rPr>
          <w:rFonts w:ascii="Calibri"/>
          <w:sz w:val="22"/>
        </w:rPr>
      </w:pPr>
      <w:r>
        <w:rPr>
          <w:rFonts w:ascii="Calibri"/>
          <w:sz w:val="22"/>
        </w:rPr>
        <w:t>Capacidad</w:t>
      </w:r>
      <w:r>
        <w:rPr>
          <w:rFonts w:ascii="Calibri"/>
          <w:spacing w:val="-8"/>
          <w:sz w:val="22"/>
        </w:rPr>
        <w:t> </w:t>
      </w:r>
      <w:r>
        <w:rPr>
          <w:rFonts w:ascii="Calibri"/>
          <w:spacing w:val="-4"/>
          <w:sz w:val="22"/>
        </w:rPr>
        <w:t>para</w:t>
      </w:r>
    </w:p>
    <w:p>
      <w:pPr>
        <w:spacing w:before="0"/>
        <w:ind w:left="925" w:right="115" w:firstLine="0"/>
        <w:jc w:val="both"/>
        <w:rPr>
          <w:rFonts w:ascii="Calibri" w:hAnsi="Calibri"/>
          <w:sz w:val="22"/>
        </w:rPr>
      </w:pPr>
      <w:r>
        <w:rPr>
          <w:rFonts w:ascii="Calibri" w:hAnsi="Calibri"/>
          <w:sz w:val="22"/>
        </w:rPr>
        <w:t>acceder</w:t>
      </w:r>
      <w:r>
        <w:rPr>
          <w:rFonts w:ascii="Calibri" w:hAnsi="Calibri"/>
          <w:spacing w:val="-12"/>
          <w:sz w:val="22"/>
        </w:rPr>
        <w:t> </w:t>
      </w:r>
      <w:r>
        <w:rPr>
          <w:rFonts w:ascii="Calibri" w:hAnsi="Calibri"/>
          <w:sz w:val="22"/>
        </w:rPr>
        <w:t>a</w:t>
      </w:r>
      <w:r>
        <w:rPr>
          <w:rFonts w:ascii="Calibri" w:hAnsi="Calibri"/>
          <w:spacing w:val="-12"/>
          <w:sz w:val="22"/>
        </w:rPr>
        <w:t> </w:t>
      </w:r>
      <w:r>
        <w:rPr>
          <w:rFonts w:ascii="Calibri" w:hAnsi="Calibri"/>
          <w:sz w:val="22"/>
        </w:rPr>
        <w:t>líneas</w:t>
      </w:r>
      <w:r>
        <w:rPr>
          <w:rFonts w:ascii="Calibri" w:hAnsi="Calibri"/>
          <w:spacing w:val="-12"/>
          <w:sz w:val="22"/>
        </w:rPr>
        <w:t> </w:t>
      </w:r>
      <w:r>
        <w:rPr>
          <w:rFonts w:ascii="Calibri" w:hAnsi="Calibri"/>
          <w:sz w:val="22"/>
        </w:rPr>
        <w:t>de crédito</w:t>
      </w:r>
      <w:r>
        <w:rPr>
          <w:rFonts w:ascii="Calibri" w:hAnsi="Calibri"/>
          <w:spacing w:val="-13"/>
          <w:sz w:val="22"/>
        </w:rPr>
        <w:t> </w:t>
      </w:r>
      <w:r>
        <w:rPr>
          <w:rFonts w:ascii="Calibri" w:hAnsi="Calibri"/>
          <w:sz w:val="22"/>
        </w:rPr>
        <w:t>después</w:t>
      </w:r>
      <w:r>
        <w:rPr>
          <w:rFonts w:ascii="Calibri" w:hAnsi="Calibri"/>
          <w:spacing w:val="-12"/>
          <w:sz w:val="22"/>
        </w:rPr>
        <w:t> </w:t>
      </w:r>
      <w:r>
        <w:rPr>
          <w:rFonts w:ascii="Calibri" w:hAnsi="Calibri"/>
          <w:sz w:val="22"/>
        </w:rPr>
        <w:t>de cumplir</w:t>
      </w:r>
      <w:r>
        <w:rPr>
          <w:rFonts w:ascii="Calibri" w:hAnsi="Calibri"/>
          <w:spacing w:val="-2"/>
          <w:sz w:val="22"/>
        </w:rPr>
        <w:t> </w:t>
      </w:r>
      <w:r>
        <w:rPr>
          <w:rFonts w:ascii="Calibri" w:hAnsi="Calibri"/>
          <w:sz w:val="22"/>
        </w:rPr>
        <w:t>con el</w:t>
      </w:r>
      <w:r>
        <w:rPr>
          <w:rFonts w:ascii="Calibri" w:hAnsi="Calibri"/>
          <w:spacing w:val="-2"/>
          <w:sz w:val="22"/>
        </w:rPr>
        <w:t> </w:t>
      </w:r>
      <w:r>
        <w:rPr>
          <w:rFonts w:ascii="Calibri" w:hAnsi="Calibri"/>
          <w:spacing w:val="-4"/>
          <w:sz w:val="22"/>
        </w:rPr>
        <w:t>IGV.</w:t>
      </w:r>
    </w:p>
    <w:p>
      <w:pPr>
        <w:pStyle w:val="ListParagraph"/>
        <w:numPr>
          <w:ilvl w:val="2"/>
          <w:numId w:val="13"/>
        </w:numPr>
        <w:tabs>
          <w:tab w:pos="922" w:val="left" w:leader="none"/>
        </w:tabs>
        <w:spacing w:line="268" w:lineRule="exact" w:before="0" w:after="0"/>
        <w:ind w:left="922" w:right="0" w:hanging="673"/>
        <w:jc w:val="both"/>
        <w:rPr>
          <w:rFonts w:ascii="Calibri" w:hAnsi="Calibri"/>
          <w:sz w:val="22"/>
        </w:rPr>
      </w:pPr>
      <w:r>
        <w:rPr>
          <w:rFonts w:ascii="Calibri" w:hAnsi="Calibri"/>
          <w:sz w:val="22"/>
        </w:rPr>
        <w:t>Percepción</w:t>
      </w:r>
      <w:r>
        <w:rPr>
          <w:rFonts w:ascii="Calibri" w:hAnsi="Calibri"/>
          <w:spacing w:val="-7"/>
          <w:sz w:val="22"/>
        </w:rPr>
        <w:t> </w:t>
      </w:r>
      <w:r>
        <w:rPr>
          <w:rFonts w:ascii="Calibri" w:hAnsi="Calibri"/>
          <w:spacing w:val="-5"/>
          <w:sz w:val="22"/>
        </w:rPr>
        <w:t>de</w:t>
      </w:r>
    </w:p>
    <w:p>
      <w:pPr>
        <w:spacing w:before="0"/>
        <w:ind w:left="925" w:right="0" w:firstLine="0"/>
        <w:jc w:val="both"/>
        <w:rPr>
          <w:rFonts w:ascii="Calibri"/>
          <w:sz w:val="22"/>
        </w:rPr>
      </w:pPr>
      <w:r>
        <w:rPr>
          <w:rFonts w:ascii="Calibri"/>
          <w:sz w:val="22"/>
        </w:rPr>
        <w:t>seguridad</w:t>
      </w:r>
      <w:r>
        <w:rPr>
          <w:rFonts w:ascii="Calibri"/>
          <w:spacing w:val="-13"/>
          <w:sz w:val="22"/>
        </w:rPr>
        <w:t> </w:t>
      </w:r>
      <w:r>
        <w:rPr>
          <w:rFonts w:ascii="Calibri"/>
          <w:sz w:val="22"/>
        </w:rPr>
        <w:t>financiera en</w:t>
      </w:r>
      <w:r>
        <w:rPr>
          <w:rFonts w:ascii="Calibri"/>
          <w:spacing w:val="-3"/>
          <w:sz w:val="22"/>
        </w:rPr>
        <w:t> </w:t>
      </w:r>
      <w:r>
        <w:rPr>
          <w:rFonts w:ascii="Calibri"/>
          <w:sz w:val="22"/>
        </w:rPr>
        <w:t>el</w:t>
      </w:r>
      <w:r>
        <w:rPr>
          <w:rFonts w:ascii="Calibri"/>
          <w:spacing w:val="-3"/>
          <w:sz w:val="22"/>
        </w:rPr>
        <w:t> </w:t>
      </w:r>
      <w:r>
        <w:rPr>
          <w:rFonts w:ascii="Calibri"/>
          <w:sz w:val="22"/>
        </w:rPr>
        <w:t>negocio</w:t>
      </w:r>
      <w:r>
        <w:rPr>
          <w:rFonts w:ascii="Calibri"/>
          <w:spacing w:val="-4"/>
          <w:sz w:val="22"/>
        </w:rPr>
        <w:t> </w:t>
      </w:r>
      <w:r>
        <w:rPr>
          <w:rFonts w:ascii="Calibri"/>
          <w:sz w:val="22"/>
        </w:rPr>
        <w:t>tras</w:t>
      </w:r>
      <w:r>
        <w:rPr>
          <w:rFonts w:ascii="Calibri"/>
          <w:spacing w:val="-3"/>
          <w:sz w:val="22"/>
        </w:rPr>
        <w:t> </w:t>
      </w:r>
      <w:r>
        <w:rPr>
          <w:rFonts w:ascii="Calibri"/>
          <w:sz w:val="22"/>
        </w:rPr>
        <w:t>el pago del IGV.</w:t>
      </w:r>
    </w:p>
    <w:p>
      <w:pPr>
        <w:pStyle w:val="ListParagraph"/>
        <w:numPr>
          <w:ilvl w:val="2"/>
          <w:numId w:val="13"/>
        </w:numPr>
        <w:tabs>
          <w:tab w:pos="922" w:val="left" w:leader="none"/>
          <w:tab w:pos="925" w:val="left" w:leader="none"/>
        </w:tabs>
        <w:spacing w:line="240" w:lineRule="auto" w:before="0" w:after="0"/>
        <w:ind w:left="925" w:right="131" w:hanging="676"/>
        <w:jc w:val="left"/>
        <w:rPr>
          <w:rFonts w:ascii="Calibri"/>
          <w:sz w:val="22"/>
        </w:rPr>
      </w:pPr>
      <w:r>
        <w:rPr>
          <w:rFonts w:ascii="Calibri"/>
          <w:sz w:val="22"/>
        </w:rPr>
        <w:t>Estabilidad en los </w:t>
      </w:r>
      <w:r>
        <w:rPr>
          <w:rFonts w:ascii="Calibri"/>
          <w:spacing w:val="-2"/>
          <w:sz w:val="22"/>
        </w:rPr>
        <w:t>contratos </w:t>
      </w:r>
      <w:r>
        <w:rPr>
          <w:rFonts w:ascii="Calibri"/>
          <w:sz w:val="22"/>
        </w:rPr>
        <w:t>comerciales tras cumplir</w:t>
      </w:r>
      <w:r>
        <w:rPr>
          <w:rFonts w:ascii="Calibri"/>
          <w:spacing w:val="-13"/>
          <w:sz w:val="22"/>
        </w:rPr>
        <w:t> </w:t>
      </w:r>
      <w:r>
        <w:rPr>
          <w:rFonts w:ascii="Calibri"/>
          <w:sz w:val="22"/>
        </w:rPr>
        <w:t>con</w:t>
      </w:r>
      <w:r>
        <w:rPr>
          <w:rFonts w:ascii="Calibri"/>
          <w:spacing w:val="-12"/>
          <w:sz w:val="22"/>
        </w:rPr>
        <w:t> </w:t>
      </w:r>
      <w:r>
        <w:rPr>
          <w:rFonts w:ascii="Calibri"/>
          <w:sz w:val="22"/>
        </w:rPr>
        <w:t>el</w:t>
      </w:r>
      <w:r>
        <w:rPr>
          <w:rFonts w:ascii="Calibri"/>
          <w:spacing w:val="-13"/>
          <w:sz w:val="22"/>
        </w:rPr>
        <w:t> </w:t>
      </w:r>
      <w:r>
        <w:rPr>
          <w:rFonts w:ascii="Calibri"/>
          <w:sz w:val="22"/>
        </w:rPr>
        <w:t>IGV.</w:t>
      </w:r>
    </w:p>
    <w:p>
      <w:pPr>
        <w:pStyle w:val="ListParagraph"/>
        <w:numPr>
          <w:ilvl w:val="2"/>
          <w:numId w:val="13"/>
        </w:numPr>
        <w:tabs>
          <w:tab w:pos="922" w:val="left" w:leader="none"/>
        </w:tabs>
        <w:spacing w:line="268" w:lineRule="exact" w:before="0" w:after="0"/>
        <w:ind w:left="922" w:right="0" w:hanging="673"/>
        <w:jc w:val="left"/>
        <w:rPr>
          <w:rFonts w:ascii="Calibri" w:hAnsi="Calibri"/>
          <w:sz w:val="22"/>
        </w:rPr>
      </w:pPr>
      <w:r>
        <w:rPr>
          <w:rFonts w:ascii="Calibri" w:hAnsi="Calibri"/>
          <w:sz w:val="22"/>
        </w:rPr>
        <w:t>Sensación</w:t>
      </w:r>
      <w:r>
        <w:rPr>
          <w:rFonts w:ascii="Calibri" w:hAnsi="Calibri"/>
          <w:spacing w:val="-6"/>
          <w:sz w:val="22"/>
        </w:rPr>
        <w:t> </w:t>
      </w:r>
      <w:r>
        <w:rPr>
          <w:rFonts w:ascii="Calibri" w:hAnsi="Calibri"/>
          <w:spacing w:val="-5"/>
          <w:sz w:val="22"/>
        </w:rPr>
        <w:t>de</w:t>
      </w:r>
    </w:p>
    <w:p>
      <w:pPr>
        <w:spacing w:before="0"/>
        <w:ind w:left="925" w:right="295" w:firstLine="0"/>
        <w:jc w:val="left"/>
        <w:rPr>
          <w:rFonts w:ascii="Calibri" w:hAnsi="Calibri"/>
          <w:sz w:val="22"/>
        </w:rPr>
      </w:pPr>
      <w:r>
        <w:rPr>
          <w:rFonts w:ascii="Calibri" w:hAnsi="Calibri"/>
          <w:spacing w:val="-2"/>
          <w:sz w:val="22"/>
        </w:rPr>
        <w:t>protección </w:t>
      </w:r>
      <w:r>
        <w:rPr>
          <w:rFonts w:ascii="Calibri" w:hAnsi="Calibri"/>
          <w:sz w:val="22"/>
        </w:rPr>
        <w:t>económica por parte del Estado frente a fluctuaciones</w:t>
      </w:r>
      <w:r>
        <w:rPr>
          <w:rFonts w:ascii="Calibri" w:hAnsi="Calibri"/>
          <w:spacing w:val="-13"/>
          <w:sz w:val="22"/>
        </w:rPr>
        <w:t> </w:t>
      </w:r>
      <w:r>
        <w:rPr>
          <w:rFonts w:ascii="Calibri" w:hAnsi="Calibri"/>
          <w:sz w:val="22"/>
        </w:rPr>
        <w:t>del </w:t>
      </w:r>
      <w:r>
        <w:rPr>
          <w:rFonts w:ascii="Calibri" w:hAnsi="Calibri"/>
          <w:spacing w:val="-4"/>
          <w:sz w:val="22"/>
        </w:rPr>
        <w:t>IGV.</w:t>
      </w:r>
    </w:p>
    <w:p>
      <w:pPr>
        <w:spacing w:line="240" w:lineRule="auto" w:before="0"/>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236"/>
        <w:rPr>
          <w:rFonts w:ascii="Calibri"/>
          <w:sz w:val="22"/>
        </w:rPr>
      </w:pPr>
    </w:p>
    <w:p>
      <w:pPr>
        <w:spacing w:before="0"/>
        <w:ind w:left="188" w:right="1529" w:firstLine="0"/>
        <w:jc w:val="left"/>
        <w:rPr>
          <w:rFonts w:ascii="Calibri"/>
          <w:sz w:val="22"/>
        </w:rPr>
      </w:pPr>
      <w:r>
        <w:rPr>
          <w:rFonts w:ascii="Calibri"/>
          <w:spacing w:val="-2"/>
          <w:sz w:val="22"/>
        </w:rPr>
        <w:t>Encuesta Cuestionario</w:t>
      </w:r>
    </w:p>
    <w:p>
      <w:pPr>
        <w:spacing w:after="0"/>
        <w:jc w:val="left"/>
        <w:rPr>
          <w:rFonts w:ascii="Calibri"/>
          <w:sz w:val="22"/>
        </w:rPr>
        <w:sectPr>
          <w:type w:val="continuous"/>
          <w:pgSz w:w="11910" w:h="16840"/>
          <w:pgMar w:header="0" w:footer="693" w:top="0" w:bottom="0" w:left="1559" w:right="425"/>
          <w:cols w:num="4" w:equalWidth="0">
            <w:col w:w="2275" w:space="40"/>
            <w:col w:w="1576" w:space="394"/>
            <w:col w:w="2744" w:space="39"/>
            <w:col w:w="2858"/>
          </w:cols>
        </w:sectPr>
      </w:pPr>
    </w:p>
    <w:p>
      <w:pPr>
        <w:pStyle w:val="BodyText"/>
        <w:spacing w:before="17"/>
        <w:rPr>
          <w:rFonts w:ascii="Calibri"/>
          <w:sz w:val="20"/>
        </w:rPr>
      </w:pPr>
    </w:p>
    <w:p>
      <w:pPr>
        <w:pStyle w:val="BodyText"/>
        <w:spacing w:after="0"/>
        <w:rPr>
          <w:rFonts w:ascii="Calibri"/>
          <w:sz w:val="20"/>
        </w:rPr>
        <w:sectPr>
          <w:type w:val="continuous"/>
          <w:pgSz w:w="11910" w:h="16840"/>
          <w:pgMar w:header="0" w:footer="693" w:top="0" w:bottom="0" w:left="1559" w:right="425"/>
        </w:sectPr>
      </w:pPr>
    </w:p>
    <w:p>
      <w:pPr>
        <w:spacing w:before="56"/>
        <w:ind w:left="609" w:right="38" w:firstLine="0"/>
        <w:jc w:val="left"/>
        <w:rPr>
          <w:rFonts w:ascii="Calibri"/>
          <w:sz w:val="22"/>
        </w:rPr>
      </w:pPr>
      <w:r>
        <w:rPr>
          <w:rFonts w:ascii="Calibri"/>
          <w:spacing w:val="-2"/>
          <w:sz w:val="22"/>
        </w:rPr>
        <w:t>Variable dependiente</w:t>
      </w:r>
    </w:p>
    <w:p>
      <w:pPr>
        <w:pStyle w:val="BodyText"/>
        <w:rPr>
          <w:rFonts w:ascii="Calibri"/>
          <w:sz w:val="22"/>
        </w:rPr>
      </w:pPr>
    </w:p>
    <w:p>
      <w:pPr>
        <w:pStyle w:val="ListParagraph"/>
        <w:numPr>
          <w:ilvl w:val="0"/>
          <w:numId w:val="13"/>
        </w:numPr>
        <w:tabs>
          <w:tab w:pos="607" w:val="left" w:leader="none"/>
          <w:tab w:pos="609" w:val="left" w:leader="none"/>
        </w:tabs>
        <w:spacing w:line="240" w:lineRule="auto" w:before="0" w:after="0"/>
        <w:ind w:left="609" w:right="170" w:hanging="361"/>
        <w:jc w:val="left"/>
        <w:rPr>
          <w:rFonts w:ascii="Calibri" w:hAnsi="Calibri"/>
          <w:b/>
          <w:sz w:val="22"/>
        </w:rPr>
      </w:pPr>
      <w:r>
        <w:rPr>
          <w:rFonts w:ascii="Calibri" w:hAnsi="Calibri"/>
          <w:b/>
          <w:spacing w:val="-2"/>
          <w:sz w:val="22"/>
        </w:rPr>
        <w:t>Percepción económica</w:t>
      </w:r>
    </w:p>
    <w:p>
      <w:pPr>
        <w:pStyle w:val="ListParagraph"/>
        <w:numPr>
          <w:ilvl w:val="1"/>
          <w:numId w:val="13"/>
        </w:numPr>
        <w:tabs>
          <w:tab w:pos="608" w:val="left" w:leader="none"/>
          <w:tab w:pos="2285" w:val="left" w:leader="none"/>
          <w:tab w:pos="2953" w:val="left" w:leader="none"/>
        </w:tabs>
        <w:spacing w:line="240" w:lineRule="auto" w:before="56" w:after="0"/>
        <w:ind w:left="2953" w:right="3350" w:hanging="2705"/>
        <w:jc w:val="left"/>
        <w:rPr>
          <w:rFonts w:ascii="Calibri"/>
          <w:sz w:val="22"/>
        </w:rPr>
      </w:pPr>
      <w:r>
        <w:rPr/>
        <w:br w:type="column"/>
      </w:r>
      <w:r>
        <w:rPr>
          <w:rFonts w:ascii="Calibri"/>
          <w:spacing w:val="-2"/>
          <w:sz w:val="22"/>
        </w:rPr>
        <w:t>Actividad</w:t>
      </w:r>
      <w:r>
        <w:rPr>
          <w:rFonts w:ascii="Calibri"/>
          <w:sz w:val="22"/>
        </w:rPr>
        <w:tab/>
        <w:t>2.1.1.</w:t>
      </w:r>
      <w:r>
        <w:rPr>
          <w:rFonts w:ascii="Calibri"/>
          <w:spacing w:val="80"/>
          <w:sz w:val="22"/>
        </w:rPr>
        <w:t> </w:t>
      </w:r>
      <w:r>
        <w:rPr>
          <w:rFonts w:ascii="Calibri"/>
          <w:sz w:val="22"/>
        </w:rPr>
        <w:t>Nivel</w:t>
      </w:r>
      <w:r>
        <w:rPr>
          <w:rFonts w:ascii="Calibri"/>
          <w:spacing w:val="-6"/>
          <w:sz w:val="22"/>
        </w:rPr>
        <w:t> </w:t>
      </w:r>
      <w:r>
        <w:rPr>
          <w:rFonts w:ascii="Calibri"/>
          <w:sz w:val="22"/>
        </w:rPr>
        <w:t>de</w:t>
      </w:r>
      <w:r>
        <w:rPr>
          <w:rFonts w:ascii="Calibri"/>
          <w:spacing w:val="-6"/>
          <w:sz w:val="22"/>
        </w:rPr>
        <w:t> </w:t>
      </w:r>
      <w:r>
        <w:rPr>
          <w:rFonts w:ascii="Calibri"/>
          <w:sz w:val="22"/>
        </w:rPr>
        <w:t>ventas </w:t>
      </w:r>
      <w:r>
        <w:rPr>
          <w:rFonts w:ascii="Calibri"/>
          <w:spacing w:val="-2"/>
          <w:sz w:val="22"/>
        </w:rPr>
        <w:t>mensuales.</w:t>
      </w:r>
    </w:p>
    <w:p>
      <w:pPr>
        <w:spacing w:line="267" w:lineRule="exact" w:before="0"/>
        <w:ind w:left="2285" w:right="0" w:firstLine="0"/>
        <w:jc w:val="left"/>
        <w:rPr>
          <w:rFonts w:ascii="Calibri"/>
          <w:sz w:val="22"/>
        </w:rPr>
      </w:pPr>
      <w:r>
        <w:rPr>
          <w:rFonts w:ascii="Calibri"/>
          <w:sz w:val="22"/>
        </w:rPr>
        <w:t>2.1.2.</w:t>
      </w:r>
      <w:r>
        <w:rPr>
          <w:rFonts w:ascii="Calibri"/>
          <w:spacing w:val="32"/>
          <w:sz w:val="22"/>
        </w:rPr>
        <w:t>  </w:t>
      </w:r>
      <w:r>
        <w:rPr>
          <w:rFonts w:ascii="Calibri"/>
          <w:sz w:val="22"/>
        </w:rPr>
        <w:t>Frecuencia</w:t>
      </w:r>
      <w:r>
        <w:rPr>
          <w:rFonts w:ascii="Calibri"/>
          <w:spacing w:val="-1"/>
          <w:sz w:val="22"/>
        </w:rPr>
        <w:t> </w:t>
      </w:r>
      <w:r>
        <w:rPr>
          <w:rFonts w:ascii="Calibri"/>
          <w:spacing w:val="-5"/>
          <w:sz w:val="22"/>
        </w:rPr>
        <w:t>de</w:t>
      </w:r>
    </w:p>
    <w:p>
      <w:pPr>
        <w:spacing w:before="1"/>
        <w:ind w:left="2953" w:right="2447" w:firstLine="0"/>
        <w:jc w:val="left"/>
        <w:rPr>
          <w:rFonts w:ascii="Calibri"/>
          <w:sz w:val="22"/>
        </w:rPr>
      </w:pPr>
      <w:r>
        <w:rPr>
          <w:rFonts w:ascii="Calibri"/>
          <w:spacing w:val="-2"/>
          <w:sz w:val="22"/>
        </w:rPr>
        <w:t>transacciones comerciales.</w:t>
      </w:r>
    </w:p>
    <w:p>
      <w:pPr>
        <w:spacing w:after="0"/>
        <w:jc w:val="left"/>
        <w:rPr>
          <w:rFonts w:ascii="Calibri"/>
          <w:sz w:val="22"/>
        </w:rPr>
        <w:sectPr>
          <w:type w:val="continuous"/>
          <w:pgSz w:w="11910" w:h="16840"/>
          <w:pgMar w:header="0" w:footer="693" w:top="0" w:bottom="0" w:left="1559" w:right="425"/>
          <w:cols w:num="2" w:equalWidth="0">
            <w:col w:w="1791" w:space="457"/>
            <w:col w:w="7678"/>
          </w:cols>
        </w:sectPr>
      </w:pPr>
    </w:p>
    <w:p>
      <w:pPr>
        <w:pStyle w:val="BodyText"/>
        <w:spacing w:line="20" w:lineRule="exact"/>
        <w:ind w:left="143"/>
        <w:rPr>
          <w:rFonts w:ascii="Calibri"/>
          <w:sz w:val="2"/>
        </w:rPr>
      </w:pPr>
      <w:r>
        <w:rPr>
          <w:rFonts w:ascii="Calibri"/>
          <w:sz w:val="2"/>
        </w:rPr>
        <mc:AlternateContent>
          <mc:Choice Requires="wps">
            <w:drawing>
              <wp:inline distT="0" distB="0" distL="0" distR="0">
                <wp:extent cx="5488940" cy="6350"/>
                <wp:effectExtent l="0" t="0" r="0" b="0"/>
                <wp:docPr id="120" name="Group 120"/>
                <wp:cNvGraphicFramePr>
                  <a:graphicFrameLocks/>
                </wp:cNvGraphicFramePr>
                <a:graphic>
                  <a:graphicData uri="http://schemas.microsoft.com/office/word/2010/wordprocessingGroup">
                    <wpg:wgp>
                      <wpg:cNvPr id="120" name="Group 120"/>
                      <wpg:cNvGrpSpPr/>
                      <wpg:grpSpPr>
                        <a:xfrm>
                          <a:off x="0" y="0"/>
                          <a:ext cx="5488940" cy="6350"/>
                          <a:chExt cx="5488940" cy="6350"/>
                        </a:xfrm>
                      </wpg:grpSpPr>
                      <wps:wsp>
                        <wps:cNvPr id="121" name="Graphic 121"/>
                        <wps:cNvSpPr/>
                        <wps:spPr>
                          <a:xfrm>
                            <a:off x="0" y="0"/>
                            <a:ext cx="5488940" cy="6350"/>
                          </a:xfrm>
                          <a:custGeom>
                            <a:avLst/>
                            <a:gdLst/>
                            <a:ahLst/>
                            <a:cxnLst/>
                            <a:rect l="l" t="t" r="r" b="b"/>
                            <a:pathLst>
                              <a:path w="5488940" h="6350">
                                <a:moveTo>
                                  <a:pt x="1427480" y="0"/>
                                </a:moveTo>
                                <a:lnTo>
                                  <a:pt x="0" y="0"/>
                                </a:lnTo>
                                <a:lnTo>
                                  <a:pt x="0" y="6350"/>
                                </a:lnTo>
                                <a:lnTo>
                                  <a:pt x="1427480" y="6350"/>
                                </a:lnTo>
                                <a:lnTo>
                                  <a:pt x="1427480" y="0"/>
                                </a:lnTo>
                                <a:close/>
                              </a:path>
                              <a:path w="5488940" h="6350">
                                <a:moveTo>
                                  <a:pt x="5488368" y="0"/>
                                </a:moveTo>
                                <a:lnTo>
                                  <a:pt x="5488368" y="0"/>
                                </a:lnTo>
                                <a:lnTo>
                                  <a:pt x="1427543" y="0"/>
                                </a:lnTo>
                                <a:lnTo>
                                  <a:pt x="1427543" y="6350"/>
                                </a:lnTo>
                                <a:lnTo>
                                  <a:pt x="5488368" y="6350"/>
                                </a:lnTo>
                                <a:lnTo>
                                  <a:pt x="5488368"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32.2pt;height:.5pt;mso-position-horizontal-relative:char;mso-position-vertical-relative:line" id="docshapegroup89" coordorigin="0,0" coordsize="8644,10">
                <v:shape style="position:absolute;left:0;top:0;width:8644;height:10" id="docshape90" coordorigin="0,0" coordsize="8644,10" path="m2248,0l0,0,0,10,2248,10,2248,0xm8643,0l7017,0,7007,0,4295,0,4285,0,2258,0,2248,0,2248,10,2258,10,4285,10,4295,10,7007,10,7017,10,8643,10,8643,0xe" filled="true" fillcolor="#000000" stroked="false">
                  <v:path arrowok="t"/>
                  <v:fill type="solid"/>
                </v:shape>
              </v:group>
            </w:pict>
          </mc:Fallback>
        </mc:AlternateContent>
      </w:r>
      <w:r>
        <w:rPr>
          <w:rFonts w:ascii="Calibri"/>
          <w:sz w:val="2"/>
        </w:rPr>
      </w:r>
    </w:p>
    <w:p>
      <w:pPr>
        <w:pStyle w:val="BodyText"/>
        <w:spacing w:after="0" w:line="20" w:lineRule="exact"/>
        <w:rPr>
          <w:rFonts w:ascii="Calibri"/>
          <w:sz w:val="2"/>
        </w:rPr>
        <w:sectPr>
          <w:type w:val="continuous"/>
          <w:pgSz w:w="11910" w:h="16840"/>
          <w:pgMar w:header="0" w:footer="693" w:top="0" w:bottom="0" w:left="1559" w:right="425"/>
        </w:sectPr>
      </w:pPr>
    </w:p>
    <w:p>
      <w:pPr>
        <w:spacing w:before="77"/>
        <w:ind w:left="249" w:right="0" w:firstLine="0"/>
        <w:jc w:val="left"/>
        <w:rPr>
          <w:rFonts w:ascii="Calibri" w:hAnsi="Calibri"/>
          <w:i/>
          <w:sz w:val="22"/>
        </w:rPr>
      </w:pPr>
      <w:r>
        <w:rPr>
          <w:rFonts w:ascii="Calibri" w:hAnsi="Calibri"/>
          <w:i/>
          <w:sz w:val="22"/>
        </w:rPr>
        <mc:AlternateContent>
          <mc:Choice Requires="wps">
            <w:drawing>
              <wp:anchor distT="0" distB="0" distL="0" distR="0" allowOverlap="1" layoutInCell="1" locked="0" behindDoc="0" simplePos="0" relativeHeight="15751680">
                <wp:simplePos x="0" y="0"/>
                <wp:positionH relativeFrom="page">
                  <wp:posOffset>1081087</wp:posOffset>
                </wp:positionH>
                <wp:positionV relativeFrom="paragraph">
                  <wp:posOffset>42163</wp:posOffset>
                </wp:positionV>
                <wp:extent cx="5488940" cy="6350"/>
                <wp:effectExtent l="0" t="0" r="0" b="0"/>
                <wp:wrapNone/>
                <wp:docPr id="125" name="Graphic 125"/>
                <wp:cNvGraphicFramePr>
                  <a:graphicFrameLocks/>
                </wp:cNvGraphicFramePr>
                <a:graphic>
                  <a:graphicData uri="http://schemas.microsoft.com/office/word/2010/wordprocessingShape">
                    <wps:wsp>
                      <wps:cNvPr id="125" name="Graphic 125"/>
                      <wps:cNvSpPr/>
                      <wps:spPr>
                        <a:xfrm>
                          <a:off x="0" y="0"/>
                          <a:ext cx="5488940" cy="6350"/>
                        </a:xfrm>
                        <a:custGeom>
                          <a:avLst/>
                          <a:gdLst/>
                          <a:ahLst/>
                          <a:cxnLst/>
                          <a:rect l="l" t="t" r="r" b="b"/>
                          <a:pathLst>
                            <a:path w="5488940" h="6350">
                              <a:moveTo>
                                <a:pt x="1427480" y="0"/>
                              </a:moveTo>
                              <a:lnTo>
                                <a:pt x="0" y="0"/>
                              </a:lnTo>
                              <a:lnTo>
                                <a:pt x="0" y="6350"/>
                              </a:lnTo>
                              <a:lnTo>
                                <a:pt x="1427480" y="6350"/>
                              </a:lnTo>
                              <a:lnTo>
                                <a:pt x="1427480" y="0"/>
                              </a:lnTo>
                              <a:close/>
                            </a:path>
                            <a:path w="5488940" h="6350">
                              <a:moveTo>
                                <a:pt x="5488368" y="0"/>
                              </a:moveTo>
                              <a:lnTo>
                                <a:pt x="5488368" y="0"/>
                              </a:lnTo>
                              <a:lnTo>
                                <a:pt x="1427543" y="0"/>
                              </a:lnTo>
                              <a:lnTo>
                                <a:pt x="1427543" y="6350"/>
                              </a:lnTo>
                              <a:lnTo>
                                <a:pt x="5488368" y="6350"/>
                              </a:lnTo>
                              <a:lnTo>
                                <a:pt x="548836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5.125008pt;margin-top:3.319987pt;width:432.2pt;height:.5pt;mso-position-horizontal-relative:page;mso-position-vertical-relative:paragraph;z-index:15751680" id="docshape92" coordorigin="1703,66" coordsize="8644,10" path="m3951,66l1703,66,1703,76,3951,76,3951,66xm10346,66l8720,66,8710,66,5997,66,5987,66,3961,66,3951,66,3951,76,3961,76,5987,76,5997,76,8710,76,8720,76,10346,76,10346,66xe" filled="true" fillcolor="#000000" stroked="false">
                <v:path arrowok="t"/>
                <v:fill type="solid"/>
                <w10:wrap type="none"/>
              </v:shape>
            </w:pict>
          </mc:Fallback>
        </mc:AlternateContent>
      </w:r>
      <w:r>
        <w:rPr>
          <w:rFonts w:ascii="Calibri" w:hAnsi="Calibri"/>
          <w:b/>
          <w:sz w:val="22"/>
        </w:rPr>
        <w:t>Definición:</w:t>
      </w:r>
      <w:r>
        <w:rPr>
          <w:rFonts w:ascii="Calibri" w:hAnsi="Calibri"/>
          <w:b/>
          <w:spacing w:val="-13"/>
          <w:sz w:val="22"/>
        </w:rPr>
        <w:t> </w:t>
      </w:r>
      <w:r>
        <w:rPr>
          <w:rFonts w:ascii="Calibri" w:hAnsi="Calibri"/>
          <w:i/>
          <w:sz w:val="22"/>
        </w:rPr>
        <w:t>Machinea y Cetrángolo (2007) definen</w:t>
      </w:r>
      <w:r>
        <w:rPr>
          <w:rFonts w:ascii="Calibri" w:hAnsi="Calibri"/>
          <w:i/>
          <w:spacing w:val="-13"/>
          <w:sz w:val="22"/>
        </w:rPr>
        <w:t> </w:t>
      </w:r>
      <w:r>
        <w:rPr>
          <w:rFonts w:ascii="Calibri" w:hAnsi="Calibri"/>
          <w:i/>
          <w:sz w:val="22"/>
        </w:rPr>
        <w:t>la</w:t>
      </w:r>
      <w:r>
        <w:rPr>
          <w:rFonts w:ascii="Calibri" w:hAnsi="Calibri"/>
          <w:i/>
          <w:spacing w:val="-12"/>
          <w:sz w:val="22"/>
        </w:rPr>
        <w:t> </w:t>
      </w:r>
      <w:r>
        <w:rPr>
          <w:rFonts w:ascii="Calibri" w:hAnsi="Calibri"/>
          <w:b/>
          <w:i/>
          <w:sz w:val="22"/>
        </w:rPr>
        <w:t>percepción económica </w:t>
      </w:r>
      <w:r>
        <w:rPr>
          <w:rFonts w:ascii="Calibri" w:hAnsi="Calibri"/>
          <w:i/>
          <w:sz w:val="22"/>
        </w:rPr>
        <w:t>como la valoración subjetiva que los agentes económicos realizan sobre los efectos de los tributos en su actividad comercial, liquidez y capacidad</w:t>
      </w:r>
    </w:p>
    <w:p>
      <w:pPr>
        <w:spacing w:before="77"/>
        <w:ind w:left="0" w:right="0" w:firstLine="0"/>
        <w:jc w:val="right"/>
        <w:rPr>
          <w:rFonts w:ascii="Calibri"/>
          <w:sz w:val="22"/>
        </w:rPr>
      </w:pPr>
      <w:r>
        <w:rPr/>
        <w:br w:type="column"/>
      </w:r>
      <w:r>
        <w:rPr>
          <w:rFonts w:ascii="Calibri"/>
          <w:spacing w:val="-2"/>
          <w:sz w:val="22"/>
        </w:rPr>
        <w:t>2.1.3.</w:t>
      </w:r>
    </w:p>
    <w:p>
      <w:pPr>
        <w:pStyle w:val="BodyText"/>
        <w:rPr>
          <w:rFonts w:ascii="Calibri"/>
          <w:sz w:val="22"/>
        </w:rPr>
      </w:pPr>
    </w:p>
    <w:p>
      <w:pPr>
        <w:pStyle w:val="BodyText"/>
        <w:rPr>
          <w:rFonts w:ascii="Calibri"/>
          <w:sz w:val="22"/>
        </w:rPr>
      </w:pPr>
    </w:p>
    <w:p>
      <w:pPr>
        <w:pStyle w:val="ListParagraph"/>
        <w:numPr>
          <w:ilvl w:val="1"/>
          <w:numId w:val="13"/>
        </w:numPr>
        <w:tabs>
          <w:tab w:pos="609" w:val="left" w:leader="none"/>
          <w:tab w:pos="2285" w:val="left" w:leader="none"/>
        </w:tabs>
        <w:spacing w:line="240" w:lineRule="auto" w:before="0" w:after="0"/>
        <w:ind w:left="609" w:right="0" w:hanging="360"/>
        <w:jc w:val="left"/>
        <w:rPr>
          <w:rFonts w:ascii="Calibri"/>
          <w:sz w:val="22"/>
        </w:rPr>
      </w:pPr>
      <w:r>
        <w:rPr>
          <w:rFonts w:ascii="Calibri"/>
          <w:spacing w:val="-2"/>
          <w:sz w:val="22"/>
        </w:rPr>
        <w:t>Responsabilidad</w:t>
      </w:r>
      <w:r>
        <w:rPr>
          <w:rFonts w:ascii="Calibri"/>
          <w:sz w:val="22"/>
        </w:rPr>
        <w:tab/>
      </w:r>
      <w:r>
        <w:rPr>
          <w:rFonts w:ascii="Calibri"/>
          <w:spacing w:val="-2"/>
          <w:sz w:val="22"/>
        </w:rPr>
        <w:t>2.2.1.</w:t>
      </w:r>
    </w:p>
    <w:p>
      <w:pPr>
        <w:spacing w:before="268"/>
        <w:ind w:left="0" w:right="0" w:firstLine="0"/>
        <w:jc w:val="right"/>
        <w:rPr>
          <w:rFonts w:ascii="Calibri"/>
          <w:sz w:val="22"/>
        </w:rPr>
      </w:pPr>
      <w:r>
        <w:rPr>
          <w:rFonts w:ascii="Calibri"/>
          <w:spacing w:val="-2"/>
          <w:sz w:val="22"/>
        </w:rPr>
        <w:t>2.2.2.</w:t>
      </w:r>
    </w:p>
    <w:p>
      <w:pPr>
        <w:pStyle w:val="BodyText"/>
        <w:rPr>
          <w:rFonts w:ascii="Calibri"/>
          <w:sz w:val="22"/>
        </w:rPr>
      </w:pPr>
    </w:p>
    <w:p>
      <w:pPr>
        <w:pStyle w:val="BodyText"/>
        <w:rPr>
          <w:rFonts w:ascii="Calibri"/>
          <w:sz w:val="22"/>
        </w:rPr>
      </w:pPr>
    </w:p>
    <w:p>
      <w:pPr>
        <w:spacing w:before="0"/>
        <w:ind w:left="0" w:right="0" w:firstLine="0"/>
        <w:jc w:val="right"/>
        <w:rPr>
          <w:rFonts w:ascii="Calibri"/>
          <w:sz w:val="22"/>
        </w:rPr>
      </w:pPr>
      <w:r>
        <w:rPr>
          <w:rFonts w:ascii="Calibri"/>
          <w:spacing w:val="-2"/>
          <w:sz w:val="22"/>
        </w:rPr>
        <w:t>2.2.3.</w:t>
      </w:r>
    </w:p>
    <w:p>
      <w:pPr>
        <w:spacing w:before="77"/>
        <w:ind w:left="124" w:right="38" w:firstLine="0"/>
        <w:jc w:val="left"/>
        <w:rPr>
          <w:rFonts w:ascii="Calibri" w:hAnsi="Calibri"/>
          <w:sz w:val="22"/>
        </w:rPr>
      </w:pPr>
      <w:r>
        <w:rPr/>
        <w:br w:type="column"/>
      </w:r>
      <w:r>
        <w:rPr>
          <w:rFonts w:ascii="Calibri" w:hAnsi="Calibri"/>
          <w:sz w:val="22"/>
        </w:rPr>
        <w:t>Impacto</w:t>
      </w:r>
      <w:r>
        <w:rPr>
          <w:rFonts w:ascii="Calibri" w:hAnsi="Calibri"/>
          <w:spacing w:val="-13"/>
          <w:sz w:val="22"/>
        </w:rPr>
        <w:t> </w:t>
      </w:r>
      <w:r>
        <w:rPr>
          <w:rFonts w:ascii="Calibri" w:hAnsi="Calibri"/>
          <w:sz w:val="22"/>
        </w:rPr>
        <w:t>del</w:t>
      </w:r>
      <w:r>
        <w:rPr>
          <w:rFonts w:ascii="Calibri" w:hAnsi="Calibri"/>
          <w:spacing w:val="-11"/>
          <w:sz w:val="22"/>
        </w:rPr>
        <w:t> </w:t>
      </w:r>
      <w:r>
        <w:rPr>
          <w:rFonts w:ascii="Calibri" w:hAnsi="Calibri"/>
          <w:sz w:val="22"/>
        </w:rPr>
        <w:t>IGV</w:t>
      </w:r>
      <w:r>
        <w:rPr>
          <w:rFonts w:ascii="Calibri" w:hAnsi="Calibri"/>
          <w:spacing w:val="-13"/>
          <w:sz w:val="22"/>
        </w:rPr>
        <w:t> </w:t>
      </w:r>
      <w:r>
        <w:rPr>
          <w:rFonts w:ascii="Calibri" w:hAnsi="Calibri"/>
          <w:sz w:val="22"/>
        </w:rPr>
        <w:t>en la rotación de </w:t>
      </w:r>
      <w:r>
        <w:rPr>
          <w:rFonts w:ascii="Calibri" w:hAnsi="Calibri"/>
          <w:spacing w:val="-2"/>
          <w:sz w:val="22"/>
        </w:rPr>
        <w:t>productos.</w:t>
      </w:r>
    </w:p>
    <w:p>
      <w:pPr>
        <w:spacing w:before="0"/>
        <w:ind w:left="132" w:right="139" w:firstLine="0"/>
        <w:jc w:val="left"/>
        <w:rPr>
          <w:rFonts w:ascii="Calibri" w:hAnsi="Calibri"/>
          <w:sz w:val="22"/>
        </w:rPr>
      </w:pPr>
      <w:r>
        <w:rPr>
          <w:rFonts w:ascii="Calibri" w:hAnsi="Calibri"/>
          <w:sz w:val="22"/>
        </w:rPr>
        <w:t>Cumplimiento</w:t>
      </w:r>
      <w:r>
        <w:rPr>
          <w:rFonts w:ascii="Calibri" w:hAnsi="Calibri"/>
          <w:spacing w:val="-13"/>
          <w:sz w:val="22"/>
        </w:rPr>
        <w:t> </w:t>
      </w:r>
      <w:r>
        <w:rPr>
          <w:rFonts w:ascii="Calibri" w:hAnsi="Calibri"/>
          <w:sz w:val="22"/>
        </w:rPr>
        <w:t>del pago del IGV. Grado de formalización del </w:t>
      </w:r>
      <w:r>
        <w:rPr>
          <w:rFonts w:ascii="Calibri" w:hAnsi="Calibri"/>
          <w:spacing w:val="-2"/>
          <w:sz w:val="22"/>
        </w:rPr>
        <w:t>negocio.</w:t>
      </w:r>
    </w:p>
    <w:p>
      <w:pPr>
        <w:spacing w:before="0"/>
        <w:ind w:left="132" w:right="466" w:firstLine="0"/>
        <w:jc w:val="both"/>
        <w:rPr>
          <w:rFonts w:ascii="Calibri" w:hAnsi="Calibri"/>
          <w:sz w:val="22"/>
        </w:rPr>
      </w:pPr>
      <w:r>
        <w:rPr>
          <w:rFonts w:ascii="Calibri" w:hAnsi="Calibri"/>
          <w:sz w:val="22"/>
        </w:rPr>
        <w:t>Percepción</w:t>
      </w:r>
      <w:r>
        <w:rPr>
          <w:rFonts w:ascii="Calibri" w:hAnsi="Calibri"/>
          <w:spacing w:val="-13"/>
          <w:sz w:val="22"/>
        </w:rPr>
        <w:t> </w:t>
      </w:r>
      <w:r>
        <w:rPr>
          <w:rFonts w:ascii="Calibri" w:hAnsi="Calibri"/>
          <w:sz w:val="22"/>
        </w:rPr>
        <w:t>de equidad en el sistema </w:t>
      </w:r>
      <w:r>
        <w:rPr>
          <w:rFonts w:ascii="Calibri" w:hAnsi="Calibri"/>
          <w:spacing w:val="-2"/>
          <w:sz w:val="22"/>
        </w:rPr>
        <w:t>fiscal.</w:t>
      </w:r>
    </w:p>
    <w:p>
      <w:pPr>
        <w:spacing w:line="240" w:lineRule="auto" w:before="0"/>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76"/>
        <w:rPr>
          <w:rFonts w:ascii="Calibri"/>
          <w:sz w:val="22"/>
        </w:rPr>
      </w:pPr>
    </w:p>
    <w:p>
      <w:pPr>
        <w:spacing w:before="0"/>
        <w:ind w:left="249" w:right="1529" w:firstLine="0"/>
        <w:jc w:val="left"/>
        <w:rPr>
          <w:rFonts w:ascii="Calibri"/>
          <w:sz w:val="22"/>
        </w:rPr>
      </w:pPr>
      <w:r>
        <w:rPr>
          <w:rFonts w:ascii="Calibri"/>
          <w:spacing w:val="-2"/>
          <w:sz w:val="22"/>
        </w:rPr>
        <w:t>Encuesta Cuestionario</w:t>
      </w:r>
    </w:p>
    <w:p>
      <w:pPr>
        <w:spacing w:after="0"/>
        <w:jc w:val="left"/>
        <w:rPr>
          <w:rFonts w:ascii="Calibri"/>
          <w:sz w:val="22"/>
        </w:rPr>
        <w:sectPr>
          <w:headerReference w:type="default" r:id="rId44"/>
          <w:footerReference w:type="default" r:id="rId45"/>
          <w:pgSz w:w="11910" w:h="16840"/>
          <w:pgMar w:header="0" w:footer="693" w:top="1340" w:bottom="880" w:left="1559" w:right="425"/>
          <w:cols w:num="4" w:equalWidth="0">
            <w:col w:w="2177" w:space="72"/>
            <w:col w:w="2790" w:space="39"/>
            <w:col w:w="1870" w:space="59"/>
            <w:col w:w="2919"/>
          </w:cols>
        </w:sectPr>
      </w:pPr>
    </w:p>
    <w:p>
      <w:pPr>
        <w:spacing w:line="240" w:lineRule="auto" w:before="0"/>
        <w:ind w:left="249" w:right="0" w:firstLine="0"/>
        <w:jc w:val="left"/>
        <w:rPr>
          <w:rFonts w:ascii="Calibri" w:hAnsi="Calibri"/>
          <w:i/>
          <w:sz w:val="22"/>
        </w:rPr>
      </w:pPr>
      <w:r>
        <w:rPr>
          <w:rFonts w:ascii="Calibri" w:hAnsi="Calibri"/>
          <w:i/>
          <w:sz w:val="22"/>
        </w:rPr>
        <w:t>de crecimiento. Esta percepción depende</w:t>
      </w:r>
      <w:r>
        <w:rPr>
          <w:rFonts w:ascii="Calibri" w:hAnsi="Calibri"/>
          <w:i/>
          <w:spacing w:val="40"/>
          <w:sz w:val="22"/>
        </w:rPr>
        <w:t> </w:t>
      </w:r>
      <w:r>
        <w:rPr>
          <w:rFonts w:ascii="Calibri" w:hAnsi="Calibri"/>
          <w:i/>
          <w:sz w:val="22"/>
        </w:rPr>
        <w:t>en gran medida de cómo</w:t>
      </w:r>
      <w:r>
        <w:rPr>
          <w:rFonts w:ascii="Calibri" w:hAnsi="Calibri"/>
          <w:i/>
          <w:spacing w:val="-13"/>
          <w:sz w:val="22"/>
        </w:rPr>
        <w:t> </w:t>
      </w:r>
      <w:r>
        <w:rPr>
          <w:rFonts w:ascii="Calibri" w:hAnsi="Calibri"/>
          <w:i/>
          <w:sz w:val="22"/>
        </w:rPr>
        <w:t>los</w:t>
      </w:r>
      <w:r>
        <w:rPr>
          <w:rFonts w:ascii="Calibri" w:hAnsi="Calibri"/>
          <w:i/>
          <w:spacing w:val="-12"/>
          <w:sz w:val="22"/>
        </w:rPr>
        <w:t> </w:t>
      </w:r>
      <w:r>
        <w:rPr>
          <w:rFonts w:ascii="Calibri" w:hAnsi="Calibri"/>
          <w:i/>
          <w:sz w:val="22"/>
        </w:rPr>
        <w:t>comerciantes asimilan el impacto</w:t>
      </w:r>
      <w:r>
        <w:rPr>
          <w:rFonts w:ascii="Calibri" w:hAnsi="Calibri"/>
          <w:i/>
          <w:spacing w:val="40"/>
          <w:sz w:val="22"/>
        </w:rPr>
        <w:t> </w:t>
      </w:r>
      <w:r>
        <w:rPr>
          <w:rFonts w:ascii="Calibri" w:hAnsi="Calibri"/>
          <w:i/>
          <w:sz w:val="22"/>
        </w:rPr>
        <w:t>del sistema fiscal</w:t>
      </w:r>
      <w:r>
        <w:rPr>
          <w:rFonts w:ascii="Calibri" w:hAnsi="Calibri"/>
          <w:i/>
          <w:spacing w:val="40"/>
          <w:sz w:val="22"/>
        </w:rPr>
        <w:t> </w:t>
      </w:r>
      <w:r>
        <w:rPr>
          <w:rFonts w:ascii="Calibri" w:hAnsi="Calibri"/>
          <w:i/>
          <w:sz w:val="22"/>
        </w:rPr>
        <w:t>sobre su solidez financiera y su habilidad</w:t>
      </w:r>
      <w:r>
        <w:rPr>
          <w:rFonts w:ascii="Calibri" w:hAnsi="Calibri"/>
          <w:i/>
          <w:spacing w:val="-10"/>
          <w:sz w:val="22"/>
        </w:rPr>
        <w:t> </w:t>
      </w:r>
      <w:r>
        <w:rPr>
          <w:rFonts w:ascii="Calibri" w:hAnsi="Calibri"/>
          <w:i/>
          <w:sz w:val="22"/>
        </w:rPr>
        <w:t>para</w:t>
      </w:r>
      <w:r>
        <w:rPr>
          <w:rFonts w:ascii="Calibri" w:hAnsi="Calibri"/>
          <w:i/>
          <w:spacing w:val="-10"/>
          <w:sz w:val="22"/>
        </w:rPr>
        <w:t> </w:t>
      </w:r>
      <w:r>
        <w:rPr>
          <w:rFonts w:ascii="Calibri" w:hAnsi="Calibri"/>
          <w:i/>
          <w:sz w:val="22"/>
        </w:rPr>
        <w:t>cumplir con las obligaciones</w:t>
      </w:r>
    </w:p>
    <w:p>
      <w:pPr>
        <w:pStyle w:val="ListParagraph"/>
        <w:numPr>
          <w:ilvl w:val="1"/>
          <w:numId w:val="13"/>
        </w:numPr>
        <w:tabs>
          <w:tab w:pos="535" w:val="left" w:leader="none"/>
          <w:tab w:pos="537" w:val="left" w:leader="none"/>
        </w:tabs>
        <w:spacing w:line="240" w:lineRule="auto" w:before="0" w:after="0"/>
        <w:ind w:left="537" w:right="38" w:hanging="362"/>
        <w:jc w:val="left"/>
        <w:rPr>
          <w:rFonts w:ascii="Calibri"/>
          <w:sz w:val="22"/>
        </w:rPr>
      </w:pPr>
      <w:r>
        <w:rPr/>
        <w:br w:type="column"/>
      </w:r>
      <w:r>
        <w:rPr>
          <w:rFonts w:ascii="Calibri"/>
          <w:spacing w:val="-2"/>
          <w:sz w:val="22"/>
        </w:rPr>
        <w:t>Crecimiento comercial</w:t>
      </w:r>
    </w:p>
    <w:p>
      <w:pPr>
        <w:spacing w:before="0"/>
        <w:ind w:left="249" w:right="0" w:firstLine="0"/>
        <w:jc w:val="left"/>
        <w:rPr>
          <w:rFonts w:ascii="Calibri"/>
          <w:sz w:val="22"/>
        </w:rPr>
      </w:pPr>
      <w:r>
        <w:rPr/>
        <w:br w:type="column"/>
      </w:r>
      <w:r>
        <w:rPr>
          <w:rFonts w:ascii="Calibri"/>
          <w:spacing w:val="-2"/>
          <w:sz w:val="22"/>
        </w:rPr>
        <w:t>2.3.1.</w:t>
      </w:r>
    </w:p>
    <w:p>
      <w:pPr>
        <w:pStyle w:val="BodyText"/>
        <w:spacing w:before="1"/>
        <w:rPr>
          <w:rFonts w:ascii="Calibri"/>
          <w:sz w:val="22"/>
        </w:rPr>
      </w:pPr>
    </w:p>
    <w:p>
      <w:pPr>
        <w:spacing w:before="0"/>
        <w:ind w:left="249" w:right="0" w:firstLine="0"/>
        <w:jc w:val="left"/>
        <w:rPr>
          <w:rFonts w:ascii="Calibri"/>
          <w:sz w:val="22"/>
        </w:rPr>
      </w:pPr>
      <w:r>
        <w:rPr>
          <w:rFonts w:ascii="Calibri"/>
          <w:spacing w:val="-2"/>
          <w:sz w:val="22"/>
        </w:rPr>
        <w:t>2.3.2.</w:t>
      </w:r>
    </w:p>
    <w:p>
      <w:pPr>
        <w:pStyle w:val="BodyText"/>
        <w:spacing w:before="267"/>
        <w:rPr>
          <w:rFonts w:ascii="Calibri"/>
          <w:sz w:val="22"/>
        </w:rPr>
      </w:pPr>
    </w:p>
    <w:p>
      <w:pPr>
        <w:spacing w:before="0"/>
        <w:ind w:left="249" w:right="0" w:firstLine="0"/>
        <w:jc w:val="left"/>
        <w:rPr>
          <w:rFonts w:ascii="Calibri"/>
          <w:sz w:val="22"/>
        </w:rPr>
      </w:pPr>
      <w:r>
        <w:rPr>
          <w:rFonts w:ascii="Calibri"/>
          <w:spacing w:val="-2"/>
          <w:sz w:val="22"/>
        </w:rPr>
        <w:t>2.3.3.</w:t>
      </w:r>
    </w:p>
    <w:p>
      <w:pPr>
        <w:spacing w:before="0"/>
        <w:ind w:left="132" w:right="2695" w:firstLine="0"/>
        <w:jc w:val="left"/>
        <w:rPr>
          <w:rFonts w:ascii="Calibri"/>
          <w:sz w:val="22"/>
        </w:rPr>
      </w:pPr>
      <w:r>
        <w:rPr/>
        <w:br w:type="column"/>
      </w:r>
      <w:r>
        <w:rPr>
          <w:rFonts w:ascii="Calibri"/>
          <w:sz w:val="22"/>
        </w:rPr>
        <w:t>Capacidad para expandir</w:t>
      </w:r>
      <w:r>
        <w:rPr>
          <w:rFonts w:ascii="Calibri"/>
          <w:spacing w:val="-13"/>
          <w:sz w:val="22"/>
        </w:rPr>
        <w:t> </w:t>
      </w:r>
      <w:r>
        <w:rPr>
          <w:rFonts w:ascii="Calibri"/>
          <w:sz w:val="22"/>
        </w:rPr>
        <w:t>el</w:t>
      </w:r>
      <w:r>
        <w:rPr>
          <w:rFonts w:ascii="Calibri"/>
          <w:spacing w:val="-12"/>
          <w:sz w:val="22"/>
        </w:rPr>
        <w:t> </w:t>
      </w:r>
      <w:r>
        <w:rPr>
          <w:rFonts w:ascii="Calibri"/>
          <w:sz w:val="22"/>
        </w:rPr>
        <w:t>negocio. Oportunidades de abrir nuevas </w:t>
      </w:r>
      <w:r>
        <w:rPr>
          <w:rFonts w:ascii="Calibri"/>
          <w:spacing w:val="-2"/>
          <w:sz w:val="22"/>
        </w:rPr>
        <w:t>sucursales.</w:t>
      </w:r>
    </w:p>
    <w:p>
      <w:pPr>
        <w:spacing w:before="0"/>
        <w:ind w:left="132" w:right="3095" w:firstLine="0"/>
        <w:jc w:val="both"/>
        <w:rPr>
          <w:rFonts w:ascii="Calibri" w:hAnsi="Calibri"/>
          <w:sz w:val="22"/>
        </w:rPr>
      </w:pPr>
      <w:r>
        <w:rPr>
          <w:rFonts w:ascii="Calibri" w:hAnsi="Calibri"/>
          <w:sz w:val="22"/>
        </w:rPr>
        <w:t>Influencia del IGV en</w:t>
      </w:r>
      <w:r>
        <w:rPr>
          <w:rFonts w:ascii="Calibri" w:hAnsi="Calibri"/>
          <w:spacing w:val="-13"/>
          <w:sz w:val="22"/>
        </w:rPr>
        <w:t> </w:t>
      </w:r>
      <w:r>
        <w:rPr>
          <w:rFonts w:ascii="Calibri" w:hAnsi="Calibri"/>
          <w:sz w:val="22"/>
        </w:rPr>
        <w:t>la</w:t>
      </w:r>
      <w:r>
        <w:rPr>
          <w:rFonts w:ascii="Calibri" w:hAnsi="Calibri"/>
          <w:spacing w:val="-12"/>
          <w:sz w:val="22"/>
        </w:rPr>
        <w:t> </w:t>
      </w:r>
      <w:r>
        <w:rPr>
          <w:rFonts w:ascii="Calibri" w:hAnsi="Calibri"/>
          <w:sz w:val="22"/>
        </w:rPr>
        <w:t>contratación de empleados.</w:t>
      </w:r>
    </w:p>
    <w:p>
      <w:pPr>
        <w:spacing w:after="0"/>
        <w:jc w:val="both"/>
        <w:rPr>
          <w:rFonts w:ascii="Calibri" w:hAnsi="Calibri"/>
          <w:sz w:val="22"/>
        </w:rPr>
        <w:sectPr>
          <w:type w:val="continuous"/>
          <w:pgSz w:w="11910" w:h="16840"/>
          <w:pgMar w:header="0" w:footer="693" w:top="0" w:bottom="0" w:left="1559" w:right="425"/>
          <w:cols w:num="4" w:equalWidth="0">
            <w:col w:w="2282" w:space="40"/>
            <w:col w:w="1667" w:space="296"/>
            <w:col w:w="753" w:space="39"/>
            <w:col w:w="4849"/>
          </w:cols>
        </w:sectPr>
      </w:pPr>
    </w:p>
    <w:p>
      <w:pPr>
        <w:tabs>
          <w:tab w:pos="8786" w:val="left" w:leader="none"/>
        </w:tabs>
        <w:spacing w:before="1"/>
        <w:ind w:left="143" w:right="0" w:firstLine="0"/>
        <w:jc w:val="left"/>
        <w:rPr>
          <w:rFonts w:ascii="Calibri"/>
          <w:i/>
          <w:sz w:val="22"/>
        </w:rPr>
      </w:pPr>
      <w:r>
        <w:rPr>
          <w:rFonts w:ascii="Calibri"/>
          <w:i/>
          <w:spacing w:val="55"/>
          <w:sz w:val="22"/>
          <w:u w:val="single"/>
        </w:rPr>
        <w:t> </w:t>
      </w:r>
      <w:r>
        <w:rPr>
          <w:rFonts w:ascii="Calibri"/>
          <w:i/>
          <w:spacing w:val="-2"/>
          <w:sz w:val="22"/>
          <w:u w:val="single"/>
        </w:rPr>
        <w:t>tributarias.</w:t>
      </w:r>
      <w:r>
        <w:rPr>
          <w:rFonts w:ascii="Calibri"/>
          <w:i/>
          <w:sz w:val="22"/>
          <w:u w:val="single"/>
        </w:rPr>
        <w:tab/>
      </w:r>
    </w:p>
    <w:p>
      <w:pPr>
        <w:pStyle w:val="BodyText"/>
        <w:spacing w:before="129"/>
        <w:ind w:left="863"/>
      </w:pPr>
      <w:r>
        <w:rPr>
          <w:i/>
        </w:rPr>
        <w:t>Nota</w:t>
      </w:r>
      <w:r>
        <w:rPr/>
        <w:t>.</w:t>
      </w:r>
      <w:r>
        <w:rPr>
          <w:spacing w:val="58"/>
        </w:rPr>
        <w:t> </w:t>
      </w:r>
      <w:r>
        <w:rPr/>
        <w:t>Adaptado</w:t>
      </w:r>
      <w:r>
        <w:rPr>
          <w:spacing w:val="-1"/>
        </w:rPr>
        <w:t> </w:t>
      </w:r>
      <w:r>
        <w:rPr/>
        <w:t>de</w:t>
      </w:r>
      <w:r>
        <w:rPr>
          <w:spacing w:val="1"/>
        </w:rPr>
        <w:t> </w:t>
      </w:r>
      <w:r>
        <w:rPr/>
        <w:t>SUNAT</w:t>
      </w:r>
      <w:r>
        <w:rPr>
          <w:spacing w:val="-1"/>
        </w:rPr>
        <w:t> </w:t>
      </w:r>
      <w:r>
        <w:rPr/>
        <w:t>(2021)</w:t>
      </w:r>
      <w:r>
        <w:rPr>
          <w:spacing w:val="-1"/>
        </w:rPr>
        <w:t> </w:t>
      </w:r>
      <w:r>
        <w:rPr/>
        <w:t>y Machinea</w:t>
      </w:r>
      <w:r>
        <w:rPr>
          <w:spacing w:val="-3"/>
        </w:rPr>
        <w:t> </w:t>
      </w:r>
      <w:r>
        <w:rPr/>
        <w:t>y</w:t>
      </w:r>
      <w:r>
        <w:rPr>
          <w:spacing w:val="-1"/>
        </w:rPr>
        <w:t> </w:t>
      </w:r>
      <w:r>
        <w:rPr/>
        <w:t>Cetrángolo </w:t>
      </w:r>
      <w:r>
        <w:rPr>
          <w:spacing w:val="-2"/>
        </w:rPr>
        <w:t>(2007)</w:t>
      </w:r>
    </w:p>
    <w:p>
      <w:pPr>
        <w:pStyle w:val="BodyText"/>
        <w:spacing w:after="0"/>
        <w:sectPr>
          <w:type w:val="continuous"/>
          <w:pgSz w:w="11910" w:h="16840"/>
          <w:pgMar w:header="0" w:footer="693" w:top="0" w:bottom="0" w:left="1559" w:right="425"/>
        </w:sectPr>
      </w:pPr>
    </w:p>
    <w:p>
      <w:pPr>
        <w:pStyle w:val="BodyText"/>
        <w:rPr>
          <w:sz w:val="20"/>
        </w:rPr>
      </w:pPr>
      <w:r>
        <w:rPr>
          <w:sz w:val="20"/>
        </w:rPr>
        <w:drawing>
          <wp:anchor distT="0" distB="0" distL="0" distR="0" allowOverlap="1" layoutInCell="1" locked="0" behindDoc="0" simplePos="0" relativeHeight="15753216">
            <wp:simplePos x="0" y="0"/>
            <wp:positionH relativeFrom="page">
              <wp:posOffset>0</wp:posOffset>
            </wp:positionH>
            <wp:positionV relativeFrom="page">
              <wp:posOffset>0</wp:posOffset>
            </wp:positionV>
            <wp:extent cx="7559040" cy="858265"/>
            <wp:effectExtent l="0" t="0" r="0" b="0"/>
            <wp:wrapNone/>
            <wp:docPr id="127" name="Image 127"/>
            <wp:cNvGraphicFramePr>
              <a:graphicFrameLocks/>
            </wp:cNvGraphicFramePr>
            <a:graphic>
              <a:graphicData uri="http://schemas.openxmlformats.org/drawingml/2006/picture">
                <pic:pic>
                  <pic:nvPicPr>
                    <pic:cNvPr id="127" name="Image 127"/>
                    <pic:cNvPicPr/>
                  </pic:nvPicPr>
                  <pic:blipFill>
                    <a:blip r:embed="rId5" cstate="print"/>
                    <a:stretch>
                      <a:fillRect/>
                    </a:stretch>
                  </pic:blipFill>
                  <pic:spPr>
                    <a:xfrm>
                      <a:off x="0" y="0"/>
                      <a:ext cx="7559040" cy="858265"/>
                    </a:xfrm>
                    <a:prstGeom prst="rect">
                      <a:avLst/>
                    </a:prstGeom>
                  </pic:spPr>
                </pic:pic>
              </a:graphicData>
            </a:graphic>
          </wp:anchor>
        </w:drawing>
      </w:r>
    </w:p>
    <w:p>
      <w:pPr>
        <w:pStyle w:val="BodyText"/>
        <w:spacing w:before="92"/>
        <w:rPr>
          <w:sz w:val="20"/>
        </w:rPr>
      </w:pPr>
    </w:p>
    <w:p>
      <w:pPr>
        <w:pStyle w:val="BodyText"/>
        <w:ind w:left="8476"/>
        <w:rPr>
          <w:sz w:val="20"/>
        </w:rPr>
      </w:pPr>
      <w:r>
        <w:rPr>
          <w:sz w:val="20"/>
        </w:rPr>
        <mc:AlternateContent>
          <mc:Choice Requires="wps">
            <w:drawing>
              <wp:inline distT="0" distB="0" distL="0" distR="0">
                <wp:extent cx="409575" cy="352425"/>
                <wp:effectExtent l="0" t="0" r="0" b="0"/>
                <wp:docPr id="128" name="Group 128"/>
                <wp:cNvGraphicFramePr>
                  <a:graphicFrameLocks/>
                </wp:cNvGraphicFramePr>
                <a:graphic>
                  <a:graphicData uri="http://schemas.microsoft.com/office/word/2010/wordprocessingGroup">
                    <wpg:wgp>
                      <wpg:cNvPr id="128" name="Group 128"/>
                      <wpg:cNvGrpSpPr/>
                      <wpg:grpSpPr>
                        <a:xfrm>
                          <a:off x="0" y="0"/>
                          <a:ext cx="409575" cy="352425"/>
                          <a:chExt cx="409575" cy="352425"/>
                        </a:xfrm>
                      </wpg:grpSpPr>
                      <wps:wsp>
                        <wps:cNvPr id="129" name="Graphic 129"/>
                        <wps:cNvSpPr/>
                        <wps:spPr>
                          <a:xfrm>
                            <a:off x="0" y="0"/>
                            <a:ext cx="409575" cy="352425"/>
                          </a:xfrm>
                          <a:custGeom>
                            <a:avLst/>
                            <a:gdLst/>
                            <a:ahLst/>
                            <a:cxnLst/>
                            <a:rect l="l" t="t" r="r" b="b"/>
                            <a:pathLst>
                              <a:path w="409575" h="352425">
                                <a:moveTo>
                                  <a:pt x="409575" y="0"/>
                                </a:moveTo>
                                <a:lnTo>
                                  <a:pt x="0" y="0"/>
                                </a:lnTo>
                                <a:lnTo>
                                  <a:pt x="0" y="352425"/>
                                </a:lnTo>
                                <a:lnTo>
                                  <a:pt x="409575" y="352425"/>
                                </a:lnTo>
                                <a:lnTo>
                                  <a:pt x="409575"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style="width:32.25pt;height:27.75pt;mso-position-horizontal-relative:char;mso-position-vertical-relative:line" id="docshapegroup93" coordorigin="0,0" coordsize="645,555">
                <v:rect style="position:absolute;left:0;top:0;width:645;height:555" id="docshape94" filled="true" fillcolor="#ffffff" stroked="false">
                  <v:fill type="solid"/>
                </v:rect>
              </v:group>
            </w:pict>
          </mc:Fallback>
        </mc:AlternateContent>
      </w:r>
      <w:r>
        <w:rPr>
          <w:sz w:val="20"/>
        </w:rPr>
      </w:r>
    </w:p>
    <w:p>
      <w:pPr>
        <w:pStyle w:val="Heading1"/>
        <w:spacing w:before="268"/>
        <w:ind w:right="845"/>
        <w:rPr>
          <w:rFonts w:ascii="Times New Roman" w:hAnsi="Times New Roman"/>
        </w:rPr>
      </w:pPr>
      <w:r>
        <w:rPr>
          <w:rFonts w:ascii="Times New Roman" w:hAnsi="Times New Roman"/>
        </w:rPr>
        <mc:AlternateContent>
          <mc:Choice Requires="wps">
            <w:drawing>
              <wp:anchor distT="0" distB="0" distL="0" distR="0" allowOverlap="1" layoutInCell="1" locked="0" behindDoc="1" simplePos="0" relativeHeight="486006784">
                <wp:simplePos x="0" y="0"/>
                <wp:positionH relativeFrom="page">
                  <wp:posOffset>6508368</wp:posOffset>
                </wp:positionH>
                <wp:positionV relativeFrom="paragraph">
                  <wp:posOffset>-274235</wp:posOffset>
                </wp:positionV>
                <wp:extent cx="152400" cy="168910"/>
                <wp:effectExtent l="0" t="0" r="0" b="0"/>
                <wp:wrapNone/>
                <wp:docPr id="130" name="Textbox 130"/>
                <wp:cNvGraphicFramePr>
                  <a:graphicFrameLocks/>
                </wp:cNvGraphicFramePr>
                <a:graphic>
                  <a:graphicData uri="http://schemas.microsoft.com/office/word/2010/wordprocessingShape">
                    <wps:wsp>
                      <wps:cNvPr id="130" name="Textbox 130"/>
                      <wps:cNvSpPr txBox="1"/>
                      <wps:spPr>
                        <a:xfrm>
                          <a:off x="0" y="0"/>
                          <a:ext cx="152400" cy="168910"/>
                        </a:xfrm>
                        <a:prstGeom prst="rect">
                          <a:avLst/>
                        </a:prstGeom>
                      </wps:spPr>
                      <wps:txbx>
                        <w:txbxContent>
                          <w:p>
                            <w:pPr>
                              <w:pStyle w:val="BodyText"/>
                              <w:spacing w:line="266" w:lineRule="exact"/>
                            </w:pPr>
                            <w:r>
                              <w:rPr>
                                <w:spacing w:val="-5"/>
                              </w:rPr>
                              <w:t>39</w:t>
                            </w:r>
                          </w:p>
                        </w:txbxContent>
                      </wps:txbx>
                      <wps:bodyPr wrap="square" lIns="0" tIns="0" rIns="0" bIns="0" rtlCol="0">
                        <a:noAutofit/>
                      </wps:bodyPr>
                    </wps:wsp>
                  </a:graphicData>
                </a:graphic>
              </wp:anchor>
            </w:drawing>
          </mc:Choice>
          <mc:Fallback>
            <w:pict>
              <v:shape style="position:absolute;margin-left:512.469971pt;margin-top:-21.593359pt;width:12pt;height:13.3pt;mso-position-horizontal-relative:page;mso-position-vertical-relative:paragraph;z-index:-17309696" type="#_x0000_t202" id="docshape95" filled="false" stroked="false">
                <v:textbox inset="0,0,0,0">
                  <w:txbxContent>
                    <w:p>
                      <w:pPr>
                        <w:pStyle w:val="BodyText"/>
                        <w:spacing w:line="266" w:lineRule="exact"/>
                      </w:pPr>
                      <w:r>
                        <w:rPr>
                          <w:spacing w:val="-5"/>
                        </w:rPr>
                        <w:t>39</w:t>
                      </w:r>
                    </w:p>
                  </w:txbxContent>
                </v:textbox>
                <w10:wrap type="none"/>
              </v:shape>
            </w:pict>
          </mc:Fallback>
        </mc:AlternateContent>
      </w:r>
      <w:bookmarkStart w:name="_bookmark40" w:id="41"/>
      <w:bookmarkEnd w:id="41"/>
      <w:r>
        <w:rPr>
          <w:b w:val="0"/>
        </w:rPr>
      </w:r>
      <w:r>
        <w:rPr>
          <w:rFonts w:ascii="Times New Roman" w:hAnsi="Times New Roman"/>
        </w:rPr>
        <w:t>CAPÍTULO </w:t>
      </w:r>
      <w:r>
        <w:rPr>
          <w:rFonts w:ascii="Times New Roman" w:hAnsi="Times New Roman"/>
          <w:spacing w:val="-10"/>
        </w:rPr>
        <w:t>V</w:t>
      </w:r>
    </w:p>
    <w:p>
      <w:pPr>
        <w:pStyle w:val="BodyText"/>
        <w:rPr>
          <w:b/>
          <w:sz w:val="28"/>
        </w:rPr>
      </w:pPr>
    </w:p>
    <w:p>
      <w:pPr>
        <w:pStyle w:val="Heading2"/>
        <w:ind w:left="165" w:right="1011"/>
      </w:pPr>
      <w:bookmarkStart w:name="_bookmark41" w:id="42"/>
      <w:bookmarkEnd w:id="42"/>
      <w:r>
        <w:rPr>
          <w:b w:val="0"/>
        </w:rPr>
      </w:r>
      <w:r>
        <w:rPr/>
        <w:t>PROCEDIMIENTO</w:t>
      </w:r>
      <w:r>
        <w:rPr>
          <w:spacing w:val="-2"/>
        </w:rPr>
        <w:t> </w:t>
      </w:r>
      <w:r>
        <w:rPr/>
        <w:t>METODOLÓGICO</w:t>
      </w:r>
      <w:r>
        <w:rPr>
          <w:spacing w:val="-2"/>
        </w:rPr>
        <w:t> </w:t>
      </w:r>
      <w:r>
        <w:rPr/>
        <w:t>DE</w:t>
      </w:r>
      <w:r>
        <w:rPr>
          <w:spacing w:val="-1"/>
        </w:rPr>
        <w:t> </w:t>
      </w:r>
      <w:r>
        <w:rPr/>
        <w:t>LA </w:t>
      </w:r>
      <w:r>
        <w:rPr>
          <w:spacing w:val="-2"/>
        </w:rPr>
        <w:t>INVESTIGACIÓN</w:t>
      </w:r>
    </w:p>
    <w:p>
      <w:pPr>
        <w:pStyle w:val="BodyText"/>
        <w:spacing w:before="120"/>
        <w:rPr>
          <w:b/>
        </w:rPr>
      </w:pPr>
    </w:p>
    <w:p>
      <w:pPr>
        <w:pStyle w:val="Heading3"/>
        <w:numPr>
          <w:ilvl w:val="1"/>
          <w:numId w:val="16"/>
        </w:numPr>
        <w:tabs>
          <w:tab w:pos="568" w:val="left" w:leader="none"/>
        </w:tabs>
        <w:spacing w:line="240" w:lineRule="auto" w:before="0" w:after="0"/>
        <w:ind w:left="568" w:right="0" w:hanging="425"/>
        <w:jc w:val="both"/>
      </w:pPr>
      <w:bookmarkStart w:name="_bookmark42" w:id="43"/>
      <w:bookmarkEnd w:id="43"/>
      <w:r>
        <w:rPr>
          <w:b w:val="0"/>
        </w:rPr>
      </w:r>
      <w:r>
        <w:rPr/>
        <w:t>Enfoque de la </w:t>
      </w:r>
      <w:r>
        <w:rPr>
          <w:spacing w:val="-2"/>
        </w:rPr>
        <w:t>investigación</w:t>
      </w:r>
    </w:p>
    <w:p>
      <w:pPr>
        <w:pStyle w:val="BodyText"/>
        <w:rPr>
          <w:b/>
        </w:rPr>
      </w:pPr>
    </w:p>
    <w:p>
      <w:pPr>
        <w:pStyle w:val="BodyText"/>
        <w:spacing w:line="480" w:lineRule="auto"/>
        <w:ind w:left="569" w:right="991" w:firstLine="720"/>
        <w:jc w:val="both"/>
      </w:pPr>
      <w:r>
        <w:rPr/>
        <w:t>El</w:t>
      </w:r>
      <w:r>
        <w:rPr>
          <w:spacing w:val="-7"/>
        </w:rPr>
        <w:t> </w:t>
      </w:r>
      <w:r>
        <w:rPr/>
        <w:t>presente</w:t>
      </w:r>
      <w:r>
        <w:rPr>
          <w:spacing w:val="-3"/>
        </w:rPr>
        <w:t> </w:t>
      </w:r>
      <w:r>
        <w:rPr/>
        <w:t>estudio</w:t>
      </w:r>
      <w:r>
        <w:rPr>
          <w:spacing w:val="-5"/>
        </w:rPr>
        <w:t> </w:t>
      </w:r>
      <w:r>
        <w:rPr/>
        <w:t>se</w:t>
      </w:r>
      <w:r>
        <w:rPr>
          <w:spacing w:val="-6"/>
        </w:rPr>
        <w:t> </w:t>
      </w:r>
      <w:r>
        <w:rPr/>
        <w:t>desarrolla</w:t>
      </w:r>
      <w:r>
        <w:rPr>
          <w:spacing w:val="-7"/>
        </w:rPr>
        <w:t> </w:t>
      </w:r>
      <w:r>
        <w:rPr/>
        <w:t>bajo</w:t>
      </w:r>
      <w:r>
        <w:rPr>
          <w:spacing w:val="-5"/>
        </w:rPr>
        <w:t> </w:t>
      </w:r>
      <w:r>
        <w:rPr/>
        <w:t>un</w:t>
      </w:r>
      <w:r>
        <w:rPr>
          <w:spacing w:val="-5"/>
        </w:rPr>
        <w:t> </w:t>
      </w:r>
      <w:r>
        <w:rPr/>
        <w:t>enfoque</w:t>
      </w:r>
      <w:r>
        <w:rPr>
          <w:spacing w:val="-6"/>
        </w:rPr>
        <w:t> </w:t>
      </w:r>
      <w:r>
        <w:rPr/>
        <w:t>cuantitativo</w:t>
      </w:r>
      <w:r>
        <w:rPr>
          <w:spacing w:val="-5"/>
        </w:rPr>
        <w:t> </w:t>
      </w:r>
      <w:r>
        <w:rPr/>
        <w:t>con</w:t>
      </w:r>
      <w:r>
        <w:rPr>
          <w:spacing w:val="-5"/>
        </w:rPr>
        <w:t> </w:t>
      </w:r>
      <w:r>
        <w:rPr/>
        <w:t>el</w:t>
      </w:r>
      <w:r>
        <w:rPr>
          <w:spacing w:val="-7"/>
        </w:rPr>
        <w:t> </w:t>
      </w:r>
      <w:r>
        <w:rPr/>
        <w:t>objetivo</w:t>
      </w:r>
      <w:r>
        <w:rPr>
          <w:spacing w:val="-5"/>
        </w:rPr>
        <w:t> </w:t>
      </w:r>
      <w:r>
        <w:rPr/>
        <w:t>de recopilar</w:t>
      </w:r>
      <w:r>
        <w:rPr>
          <w:spacing w:val="-5"/>
        </w:rPr>
        <w:t> </w:t>
      </w:r>
      <w:r>
        <w:rPr/>
        <w:t>datos</w:t>
      </w:r>
      <w:r>
        <w:rPr>
          <w:spacing w:val="-6"/>
        </w:rPr>
        <w:t> </w:t>
      </w:r>
      <w:r>
        <w:rPr/>
        <w:t>precisos</w:t>
      </w:r>
      <w:r>
        <w:rPr>
          <w:spacing w:val="-6"/>
        </w:rPr>
        <w:t> </w:t>
      </w:r>
      <w:r>
        <w:rPr/>
        <w:t>sobre</w:t>
      </w:r>
      <w:r>
        <w:rPr>
          <w:spacing w:val="-7"/>
        </w:rPr>
        <w:t> </w:t>
      </w:r>
      <w:r>
        <w:rPr/>
        <w:t>la</w:t>
      </w:r>
      <w:r>
        <w:rPr>
          <w:spacing w:val="-8"/>
        </w:rPr>
        <w:t> </w:t>
      </w:r>
      <w:r>
        <w:rPr/>
        <w:t>relación</w:t>
      </w:r>
      <w:r>
        <w:rPr>
          <w:spacing w:val="-7"/>
        </w:rPr>
        <w:t> </w:t>
      </w:r>
      <w:r>
        <w:rPr/>
        <w:t>entre</w:t>
      </w:r>
      <w:r>
        <w:rPr>
          <w:spacing w:val="-7"/>
        </w:rPr>
        <w:t> </w:t>
      </w:r>
      <w:r>
        <w:rPr/>
        <w:t>el</w:t>
      </w:r>
      <w:r>
        <w:rPr>
          <w:spacing w:val="-7"/>
        </w:rPr>
        <w:t> </w:t>
      </w:r>
      <w:r>
        <w:rPr/>
        <w:t>"Impuesto</w:t>
      </w:r>
      <w:r>
        <w:rPr>
          <w:spacing w:val="-7"/>
        </w:rPr>
        <w:t> </w:t>
      </w:r>
      <w:r>
        <w:rPr/>
        <w:t>General</w:t>
      </w:r>
      <w:r>
        <w:rPr>
          <w:spacing w:val="-7"/>
        </w:rPr>
        <w:t> </w:t>
      </w:r>
      <w:r>
        <w:rPr/>
        <w:t>de</w:t>
      </w:r>
      <w:r>
        <w:rPr>
          <w:spacing w:val="-5"/>
        </w:rPr>
        <w:t> </w:t>
      </w:r>
      <w:r>
        <w:rPr/>
        <w:t>las</w:t>
      </w:r>
      <w:r>
        <w:rPr>
          <w:spacing w:val="-4"/>
        </w:rPr>
        <w:t> </w:t>
      </w:r>
      <w:r>
        <w:rPr/>
        <w:t>Ventas"</w:t>
      </w:r>
      <w:r>
        <w:rPr>
          <w:spacing w:val="-4"/>
        </w:rPr>
        <w:t> </w:t>
      </w:r>
      <w:r>
        <w:rPr/>
        <w:t>y</w:t>
      </w:r>
      <w:r>
        <w:rPr>
          <w:spacing w:val="-7"/>
        </w:rPr>
        <w:t> </w:t>
      </w:r>
      <w:r>
        <w:rPr/>
        <w:t>la "Percepción Económica" de los comerciantes del Centro de Abastos Las Mercedes de Juliaca, 2023.</w:t>
      </w:r>
    </w:p>
    <w:p>
      <w:pPr>
        <w:pStyle w:val="Heading3"/>
        <w:numPr>
          <w:ilvl w:val="1"/>
          <w:numId w:val="16"/>
        </w:numPr>
        <w:tabs>
          <w:tab w:pos="568" w:val="left" w:leader="none"/>
        </w:tabs>
        <w:spacing w:line="240" w:lineRule="auto" w:before="0" w:after="0"/>
        <w:ind w:left="568" w:right="0" w:hanging="425"/>
        <w:jc w:val="both"/>
      </w:pPr>
      <w:bookmarkStart w:name="_bookmark43" w:id="44"/>
      <w:bookmarkEnd w:id="44"/>
      <w:r>
        <w:rPr>
          <w:b w:val="0"/>
        </w:rPr>
      </w:r>
      <w:r>
        <w:rPr/>
        <w:t>Método</w:t>
      </w:r>
      <w:r>
        <w:rPr>
          <w:spacing w:val="-1"/>
        </w:rPr>
        <w:t> </w:t>
      </w:r>
      <w:r>
        <w:rPr/>
        <w:t>aplicado</w:t>
      </w:r>
      <w:r>
        <w:rPr>
          <w:spacing w:val="-1"/>
        </w:rPr>
        <w:t> </w:t>
      </w:r>
      <w:r>
        <w:rPr/>
        <w:t>a</w:t>
      </w:r>
      <w:r>
        <w:rPr>
          <w:spacing w:val="-1"/>
        </w:rPr>
        <w:t> </w:t>
      </w:r>
      <w:r>
        <w:rPr/>
        <w:t>la</w:t>
      </w:r>
      <w:r>
        <w:rPr>
          <w:spacing w:val="-1"/>
        </w:rPr>
        <w:t> </w:t>
      </w:r>
      <w:r>
        <w:rPr>
          <w:spacing w:val="-2"/>
        </w:rPr>
        <w:t>investigación</w:t>
      </w:r>
    </w:p>
    <w:p>
      <w:pPr>
        <w:pStyle w:val="BodyText"/>
        <w:rPr>
          <w:b/>
        </w:rPr>
      </w:pPr>
    </w:p>
    <w:p>
      <w:pPr>
        <w:pStyle w:val="BodyText"/>
        <w:spacing w:line="480" w:lineRule="auto"/>
        <w:ind w:left="569" w:right="991" w:firstLine="720"/>
        <w:jc w:val="both"/>
      </w:pPr>
      <w:r>
        <w:rPr/>
        <w:t>El estudio se llevó a cabo utilizando el método deductivo, que parte de teorías generales y principios establecidos para derivar conclusiones específicas sobre la asociación del Impuesto General de las Ventas y la Percepción</w:t>
      </w:r>
      <w:r>
        <w:rPr>
          <w:spacing w:val="40"/>
        </w:rPr>
        <w:t> </w:t>
      </w:r>
      <w:r>
        <w:rPr/>
        <w:t>económica de los comerciantes del Centro de Abastos Las Mercedes de Juliaca, 2023. Este enfoque permitió la formulación de hipótesis basadas en marcos teóricos existentes, que luego fueron contrastadas empíricamente mediante la recolección de datos cuantitativos.</w:t>
      </w:r>
    </w:p>
    <w:p>
      <w:pPr>
        <w:pStyle w:val="Heading3"/>
        <w:numPr>
          <w:ilvl w:val="1"/>
          <w:numId w:val="16"/>
        </w:numPr>
        <w:tabs>
          <w:tab w:pos="568" w:val="left" w:leader="none"/>
        </w:tabs>
        <w:spacing w:line="240" w:lineRule="auto" w:before="1" w:after="0"/>
        <w:ind w:left="568" w:right="0" w:hanging="425"/>
        <w:jc w:val="both"/>
      </w:pPr>
      <w:bookmarkStart w:name="_bookmark44" w:id="45"/>
      <w:bookmarkEnd w:id="45"/>
      <w:r>
        <w:rPr>
          <w:b w:val="0"/>
        </w:rPr>
      </w:r>
      <w:r>
        <w:rPr/>
        <w:t>Tipo</w:t>
      </w:r>
      <w:r>
        <w:rPr>
          <w:spacing w:val="-1"/>
        </w:rPr>
        <w:t> </w:t>
      </w:r>
      <w:r>
        <w:rPr/>
        <w:t>de </w:t>
      </w:r>
      <w:r>
        <w:rPr>
          <w:spacing w:val="-2"/>
        </w:rPr>
        <w:t>investigación</w:t>
      </w:r>
    </w:p>
    <w:p>
      <w:pPr>
        <w:pStyle w:val="BodyText"/>
        <w:rPr>
          <w:b/>
        </w:rPr>
      </w:pPr>
    </w:p>
    <w:p>
      <w:pPr>
        <w:pStyle w:val="BodyText"/>
        <w:spacing w:line="480" w:lineRule="auto"/>
        <w:ind w:left="569" w:right="991" w:firstLine="720"/>
        <w:jc w:val="both"/>
      </w:pPr>
      <w:r>
        <w:rPr/>
        <w:t>Este estudio se clasifica como una investigación aplicada, ya que su propósito principal es generar conocimientos que puedan ser utilizados para mejorar la conexión del</w:t>
      </w:r>
      <w:r>
        <w:rPr>
          <w:spacing w:val="-7"/>
        </w:rPr>
        <w:t> </w:t>
      </w:r>
      <w:r>
        <w:rPr/>
        <w:t>Impuesto</w:t>
      </w:r>
      <w:r>
        <w:rPr>
          <w:spacing w:val="-6"/>
        </w:rPr>
        <w:t> </w:t>
      </w:r>
      <w:r>
        <w:rPr/>
        <w:t>General</w:t>
      </w:r>
      <w:r>
        <w:rPr>
          <w:spacing w:val="-6"/>
        </w:rPr>
        <w:t> </w:t>
      </w:r>
      <w:r>
        <w:rPr/>
        <w:t>de</w:t>
      </w:r>
      <w:r>
        <w:rPr>
          <w:spacing w:val="-6"/>
        </w:rPr>
        <w:t> </w:t>
      </w:r>
      <w:r>
        <w:rPr/>
        <w:t>las</w:t>
      </w:r>
      <w:r>
        <w:rPr>
          <w:spacing w:val="-5"/>
        </w:rPr>
        <w:t> </w:t>
      </w:r>
      <w:r>
        <w:rPr/>
        <w:t>Ventas</w:t>
      </w:r>
      <w:r>
        <w:rPr>
          <w:spacing w:val="-5"/>
        </w:rPr>
        <w:t> </w:t>
      </w:r>
      <w:r>
        <w:rPr/>
        <w:t>y</w:t>
      </w:r>
      <w:r>
        <w:rPr>
          <w:spacing w:val="-5"/>
        </w:rPr>
        <w:t> </w:t>
      </w:r>
      <w:r>
        <w:rPr/>
        <w:t>la</w:t>
      </w:r>
      <w:r>
        <w:rPr>
          <w:spacing w:val="-7"/>
        </w:rPr>
        <w:t> </w:t>
      </w:r>
      <w:r>
        <w:rPr/>
        <w:t>Percepción</w:t>
      </w:r>
      <w:r>
        <w:rPr>
          <w:spacing w:val="-3"/>
        </w:rPr>
        <w:t> </w:t>
      </w:r>
      <w:r>
        <w:rPr/>
        <w:t>Económica</w:t>
      </w:r>
      <w:r>
        <w:rPr>
          <w:spacing w:val="-6"/>
        </w:rPr>
        <w:t> </w:t>
      </w:r>
      <w:r>
        <w:rPr/>
        <w:t>de</w:t>
      </w:r>
      <w:r>
        <w:rPr>
          <w:spacing w:val="-6"/>
        </w:rPr>
        <w:t> </w:t>
      </w:r>
      <w:r>
        <w:rPr/>
        <w:t>los</w:t>
      </w:r>
      <w:r>
        <w:rPr>
          <w:spacing w:val="-5"/>
        </w:rPr>
        <w:t> </w:t>
      </w:r>
      <w:r>
        <w:rPr/>
        <w:t>comerciantes</w:t>
      </w:r>
      <w:r>
        <w:rPr>
          <w:spacing w:val="-5"/>
        </w:rPr>
        <w:t> </w:t>
      </w:r>
      <w:r>
        <w:rPr/>
        <w:t>del Centro</w:t>
      </w:r>
      <w:r>
        <w:rPr>
          <w:spacing w:val="-7"/>
        </w:rPr>
        <w:t> </w:t>
      </w:r>
      <w:r>
        <w:rPr/>
        <w:t>de</w:t>
      </w:r>
      <w:r>
        <w:rPr>
          <w:spacing w:val="-8"/>
        </w:rPr>
        <w:t> </w:t>
      </w:r>
      <w:r>
        <w:rPr/>
        <w:t>Abastos</w:t>
      </w:r>
      <w:r>
        <w:rPr>
          <w:spacing w:val="-7"/>
        </w:rPr>
        <w:t> </w:t>
      </w:r>
      <w:r>
        <w:rPr/>
        <w:t>Las</w:t>
      </w:r>
      <w:r>
        <w:rPr>
          <w:spacing w:val="-7"/>
        </w:rPr>
        <w:t> </w:t>
      </w:r>
      <w:r>
        <w:rPr/>
        <w:t>Mercedes,</w:t>
      </w:r>
      <w:r>
        <w:rPr>
          <w:spacing w:val="-7"/>
        </w:rPr>
        <w:t> </w:t>
      </w:r>
      <w:r>
        <w:rPr/>
        <w:t>de</w:t>
      </w:r>
      <w:r>
        <w:rPr>
          <w:spacing w:val="-7"/>
        </w:rPr>
        <w:t> </w:t>
      </w:r>
      <w:r>
        <w:rPr/>
        <w:t>Juliaca,</w:t>
      </w:r>
      <w:r>
        <w:rPr>
          <w:spacing w:val="-8"/>
        </w:rPr>
        <w:t> </w:t>
      </w:r>
      <w:r>
        <w:rPr/>
        <w:t>2023.</w:t>
      </w:r>
      <w:r>
        <w:rPr>
          <w:spacing w:val="-8"/>
        </w:rPr>
        <w:t> </w:t>
      </w:r>
      <w:r>
        <w:rPr/>
        <w:t>Los</w:t>
      </w:r>
      <w:r>
        <w:rPr>
          <w:spacing w:val="-8"/>
        </w:rPr>
        <w:t> </w:t>
      </w:r>
      <w:r>
        <w:rPr/>
        <w:t>hallazgos</w:t>
      </w:r>
      <w:r>
        <w:rPr>
          <w:spacing w:val="-7"/>
        </w:rPr>
        <w:t> </w:t>
      </w:r>
      <w:r>
        <w:rPr/>
        <w:t>alcanzados</w:t>
      </w:r>
      <w:r>
        <w:rPr>
          <w:spacing w:val="-7"/>
        </w:rPr>
        <w:t> </w:t>
      </w:r>
      <w:r>
        <w:rPr/>
        <w:t>se</w:t>
      </w:r>
      <w:r>
        <w:rPr>
          <w:spacing w:val="-7"/>
        </w:rPr>
        <w:t> </w:t>
      </w:r>
      <w:r>
        <w:rPr/>
        <w:t>dirigen hacia la solución de inconvenientes específicos en la gestión comercial local, con un enfoque práctico y directo en la implementación de estrategias que optimicen la percepción de los comerciantes sobre el impacto del IGV en su economía.</w:t>
      </w:r>
    </w:p>
    <w:p>
      <w:pPr>
        <w:pStyle w:val="Heading3"/>
        <w:numPr>
          <w:ilvl w:val="1"/>
          <w:numId w:val="16"/>
        </w:numPr>
        <w:tabs>
          <w:tab w:pos="568" w:val="left" w:leader="none"/>
        </w:tabs>
        <w:spacing w:line="275" w:lineRule="exact" w:before="0" w:after="0"/>
        <w:ind w:left="568" w:right="0" w:hanging="425"/>
        <w:jc w:val="both"/>
      </w:pPr>
      <w:bookmarkStart w:name="_bookmark45" w:id="46"/>
      <w:bookmarkEnd w:id="46"/>
      <w:r>
        <w:rPr>
          <w:b w:val="0"/>
        </w:rPr>
      </w:r>
      <w:r>
        <w:rPr/>
        <w:t>Nivel</w:t>
      </w:r>
      <w:r>
        <w:rPr>
          <w:spacing w:val="-2"/>
        </w:rPr>
        <w:t> </w:t>
      </w:r>
      <w:r>
        <w:rPr/>
        <w:t>de </w:t>
      </w:r>
      <w:r>
        <w:rPr>
          <w:spacing w:val="-2"/>
        </w:rPr>
        <w:t>investigación</w:t>
      </w:r>
    </w:p>
    <w:p>
      <w:pPr>
        <w:pStyle w:val="BodyText"/>
        <w:rPr>
          <w:b/>
        </w:rPr>
      </w:pPr>
    </w:p>
    <w:p>
      <w:pPr>
        <w:pStyle w:val="BodyText"/>
        <w:spacing w:line="480" w:lineRule="auto" w:before="1"/>
        <w:ind w:left="569" w:right="995" w:firstLine="720"/>
        <w:jc w:val="both"/>
      </w:pPr>
      <w:r>
        <w:rPr/>
        <w:t>La investigación se realizó a un nivel explicativo, con el objetivo de analizar y comprender</w:t>
      </w:r>
      <w:r>
        <w:rPr>
          <w:spacing w:val="3"/>
        </w:rPr>
        <w:t> </w:t>
      </w:r>
      <w:r>
        <w:rPr/>
        <w:t>cómo</w:t>
      </w:r>
      <w:r>
        <w:rPr>
          <w:spacing w:val="6"/>
        </w:rPr>
        <w:t> </w:t>
      </w:r>
      <w:r>
        <w:rPr/>
        <w:t>el</w:t>
      </w:r>
      <w:r>
        <w:rPr>
          <w:spacing w:val="6"/>
        </w:rPr>
        <w:t> </w:t>
      </w:r>
      <w:r>
        <w:rPr/>
        <w:t>Tributo</w:t>
      </w:r>
      <w:r>
        <w:rPr>
          <w:spacing w:val="5"/>
        </w:rPr>
        <w:t> </w:t>
      </w:r>
      <w:r>
        <w:rPr/>
        <w:t>General</w:t>
      </w:r>
      <w:r>
        <w:rPr>
          <w:spacing w:val="5"/>
        </w:rPr>
        <w:t> </w:t>
      </w:r>
      <w:r>
        <w:rPr/>
        <w:t>sobre</w:t>
      </w:r>
      <w:r>
        <w:rPr>
          <w:spacing w:val="6"/>
        </w:rPr>
        <w:t> </w:t>
      </w:r>
      <w:r>
        <w:rPr/>
        <w:t>las</w:t>
      </w:r>
      <w:r>
        <w:rPr>
          <w:spacing w:val="6"/>
        </w:rPr>
        <w:t> </w:t>
      </w:r>
      <w:r>
        <w:rPr/>
        <w:t>Ventas</w:t>
      </w:r>
      <w:r>
        <w:rPr>
          <w:spacing w:val="6"/>
        </w:rPr>
        <w:t> </w:t>
      </w:r>
      <w:r>
        <w:rPr/>
        <w:t>(IGV)</w:t>
      </w:r>
      <w:r>
        <w:rPr>
          <w:spacing w:val="7"/>
        </w:rPr>
        <w:t> </w:t>
      </w:r>
      <w:r>
        <w:rPr/>
        <w:t>influye</w:t>
      </w:r>
      <w:r>
        <w:rPr>
          <w:spacing w:val="4"/>
        </w:rPr>
        <w:t> </w:t>
      </w:r>
      <w:r>
        <w:rPr/>
        <w:t>en</w:t>
      </w:r>
      <w:r>
        <w:rPr>
          <w:spacing w:val="6"/>
        </w:rPr>
        <w:t> </w:t>
      </w:r>
      <w:r>
        <w:rPr/>
        <w:t>la</w:t>
      </w:r>
      <w:r>
        <w:rPr>
          <w:spacing w:val="5"/>
        </w:rPr>
        <w:t> </w:t>
      </w:r>
      <w:r>
        <w:rPr>
          <w:spacing w:val="-2"/>
        </w:rPr>
        <w:t>Perspectiva</w:t>
      </w:r>
    </w:p>
    <w:p>
      <w:pPr>
        <w:pStyle w:val="BodyText"/>
        <w:spacing w:after="0" w:line="480" w:lineRule="auto"/>
        <w:jc w:val="both"/>
        <w:sectPr>
          <w:headerReference w:type="default" r:id="rId46"/>
          <w:footerReference w:type="default" r:id="rId47"/>
          <w:pgSz w:w="11910" w:h="16840"/>
          <w:pgMar w:header="0" w:footer="693" w:top="0" w:bottom="880" w:left="1559" w:right="425"/>
        </w:sectPr>
      </w:pPr>
    </w:p>
    <w:p>
      <w:pPr>
        <w:pStyle w:val="BodyText"/>
        <w:spacing w:line="480" w:lineRule="auto" w:before="66"/>
        <w:ind w:left="569" w:right="994"/>
        <w:jc w:val="both"/>
      </w:pPr>
      <w:r>
        <w:rPr/>
        <w:t>Económica de los comerciantes del Mercado Central Las Mercedes, en Juliaca, 2023. Este enfoque</w:t>
      </w:r>
      <w:r>
        <w:rPr>
          <w:spacing w:val="-1"/>
        </w:rPr>
        <w:t> </w:t>
      </w:r>
      <w:r>
        <w:rPr/>
        <w:t>busca identificar las causas y efectos de la</w:t>
      </w:r>
      <w:r>
        <w:rPr>
          <w:spacing w:val="-1"/>
        </w:rPr>
        <w:t> </w:t>
      </w:r>
      <w:r>
        <w:rPr/>
        <w:t>implementación del</w:t>
      </w:r>
      <w:r>
        <w:rPr>
          <w:spacing w:val="-1"/>
        </w:rPr>
        <w:t> </w:t>
      </w:r>
      <w:r>
        <w:rPr/>
        <w:t>IGV en la economía de los comerciantes, explicando los mecanismos mediante los cuales este impuesto impacta su percepción económica y comportamiento comercial.</w:t>
      </w:r>
    </w:p>
    <w:p>
      <w:pPr>
        <w:pStyle w:val="Heading3"/>
        <w:numPr>
          <w:ilvl w:val="1"/>
          <w:numId w:val="16"/>
        </w:numPr>
        <w:tabs>
          <w:tab w:pos="568" w:val="left" w:leader="none"/>
        </w:tabs>
        <w:spacing w:line="240" w:lineRule="auto" w:before="1" w:after="0"/>
        <w:ind w:left="568" w:right="0" w:hanging="425"/>
        <w:jc w:val="both"/>
      </w:pPr>
      <w:bookmarkStart w:name="_bookmark46" w:id="47"/>
      <w:bookmarkEnd w:id="47"/>
      <w:r>
        <w:rPr>
          <w:b w:val="0"/>
        </w:rPr>
      </w:r>
      <w:r>
        <w:rPr/>
        <w:t>Diseño de </w:t>
      </w:r>
      <w:r>
        <w:rPr>
          <w:spacing w:val="-2"/>
        </w:rPr>
        <w:t>investigación</w:t>
      </w:r>
    </w:p>
    <w:p>
      <w:pPr>
        <w:pStyle w:val="BodyText"/>
        <w:spacing w:line="480" w:lineRule="auto" w:before="276"/>
        <w:ind w:left="569" w:right="992" w:firstLine="1140"/>
        <w:jc w:val="both"/>
      </w:pPr>
      <w:r>
        <w:rPr/>
        <w:t>Se</w:t>
      </w:r>
      <w:r>
        <w:rPr>
          <w:spacing w:val="-9"/>
        </w:rPr>
        <w:t> </w:t>
      </w:r>
      <w:r>
        <w:rPr/>
        <w:t>eligió</w:t>
      </w:r>
      <w:r>
        <w:rPr>
          <w:spacing w:val="-9"/>
        </w:rPr>
        <w:t> </w:t>
      </w:r>
      <w:r>
        <w:rPr/>
        <w:t>por</w:t>
      </w:r>
      <w:r>
        <w:rPr>
          <w:spacing w:val="-8"/>
        </w:rPr>
        <w:t> </w:t>
      </w:r>
      <w:r>
        <w:rPr/>
        <w:t>un</w:t>
      </w:r>
      <w:r>
        <w:rPr>
          <w:spacing w:val="-6"/>
        </w:rPr>
        <w:t> </w:t>
      </w:r>
      <w:r>
        <w:rPr/>
        <w:t>diseño</w:t>
      </w:r>
      <w:r>
        <w:rPr>
          <w:spacing w:val="-8"/>
        </w:rPr>
        <w:t> </w:t>
      </w:r>
      <w:r>
        <w:rPr/>
        <w:t>de</w:t>
      </w:r>
      <w:r>
        <w:rPr>
          <w:spacing w:val="-9"/>
        </w:rPr>
        <w:t> </w:t>
      </w:r>
      <w:r>
        <w:rPr/>
        <w:t>análisis</w:t>
      </w:r>
      <w:r>
        <w:rPr>
          <w:spacing w:val="-8"/>
        </w:rPr>
        <w:t> </w:t>
      </w:r>
      <w:r>
        <w:rPr/>
        <w:t>sin</w:t>
      </w:r>
      <w:r>
        <w:rPr>
          <w:spacing w:val="-7"/>
        </w:rPr>
        <w:t> </w:t>
      </w:r>
      <w:r>
        <w:rPr/>
        <w:t>experimentación</w:t>
      </w:r>
      <w:r>
        <w:rPr>
          <w:spacing w:val="-9"/>
        </w:rPr>
        <w:t> </w:t>
      </w:r>
      <w:r>
        <w:rPr/>
        <w:t>de</w:t>
      </w:r>
      <w:r>
        <w:rPr>
          <w:spacing w:val="-7"/>
        </w:rPr>
        <w:t> </w:t>
      </w:r>
      <w:r>
        <w:rPr/>
        <w:t>corte</w:t>
      </w:r>
      <w:r>
        <w:rPr>
          <w:spacing w:val="-9"/>
        </w:rPr>
        <w:t> </w:t>
      </w:r>
      <w:r>
        <w:rPr/>
        <w:t>transversal, el cual permite observar y analizar la conexión del Impuesto General de las Ventas (IGV) y la Percepción Económica de los vendedores del Centro de Abastos Las Mercedes de Juliaca en el año 2023. Este diseño es adecuado para estudiar fenómenos sin manipular las variables, brindando una "instantánea" de la situación actual y facilitando la identificación de cómo la percepción económica de los comerciantes se ve influenciada por la aplicación del IGV en un momento específico</w:t>
      </w:r>
    </w:p>
    <w:p>
      <w:pPr>
        <w:pStyle w:val="Heading3"/>
        <w:numPr>
          <w:ilvl w:val="1"/>
          <w:numId w:val="16"/>
        </w:numPr>
        <w:tabs>
          <w:tab w:pos="568" w:val="left" w:leader="none"/>
        </w:tabs>
        <w:spacing w:line="240" w:lineRule="auto" w:before="1" w:after="0"/>
        <w:ind w:left="568" w:right="0" w:hanging="425"/>
        <w:jc w:val="both"/>
      </w:pPr>
      <w:bookmarkStart w:name="_bookmark47" w:id="48"/>
      <w:bookmarkEnd w:id="48"/>
      <w:r>
        <w:rPr>
          <w:b w:val="0"/>
        </w:rPr>
      </w:r>
      <w:r>
        <w:rPr/>
        <w:t>Población</w:t>
      </w:r>
      <w:r>
        <w:rPr>
          <w:spacing w:val="-2"/>
        </w:rPr>
        <w:t> </w:t>
      </w:r>
      <w:r>
        <w:rPr/>
        <w:t>y</w:t>
      </w:r>
      <w:r>
        <w:rPr>
          <w:spacing w:val="-1"/>
        </w:rPr>
        <w:t> </w:t>
      </w:r>
      <w:r>
        <w:rPr>
          <w:spacing w:val="-2"/>
        </w:rPr>
        <w:t>muestra</w:t>
      </w:r>
    </w:p>
    <w:p>
      <w:pPr>
        <w:pStyle w:val="Heading4"/>
        <w:numPr>
          <w:ilvl w:val="2"/>
          <w:numId w:val="17"/>
        </w:numPr>
        <w:tabs>
          <w:tab w:pos="1165" w:val="left" w:leader="none"/>
        </w:tabs>
        <w:spacing w:line="240" w:lineRule="auto" w:before="276" w:after="0"/>
        <w:ind w:left="1165" w:right="0" w:hanging="606"/>
        <w:jc w:val="both"/>
      </w:pPr>
      <w:bookmarkStart w:name="_bookmark48" w:id="49"/>
      <w:bookmarkEnd w:id="49"/>
      <w:r>
        <w:rPr>
          <w:b w:val="0"/>
          <w:i w:val="0"/>
        </w:rPr>
      </w:r>
      <w:r>
        <w:rPr>
          <w:spacing w:val="-2"/>
        </w:rPr>
        <w:t>Población</w:t>
      </w:r>
    </w:p>
    <w:p>
      <w:pPr>
        <w:pStyle w:val="BodyText"/>
        <w:spacing w:line="480" w:lineRule="auto" w:before="276"/>
        <w:ind w:left="1135" w:right="990" w:firstLine="720"/>
        <w:jc w:val="both"/>
      </w:pPr>
      <w:r>
        <w:rPr/>
        <w:t>El grupo poblacional de estudio estará conformado por los comerciantes del</w:t>
      </w:r>
      <w:r>
        <w:rPr>
          <w:spacing w:val="-6"/>
        </w:rPr>
        <w:t> </w:t>
      </w:r>
      <w:r>
        <w:rPr/>
        <w:t>Centro</w:t>
      </w:r>
      <w:r>
        <w:rPr>
          <w:spacing w:val="-5"/>
        </w:rPr>
        <w:t> </w:t>
      </w:r>
      <w:r>
        <w:rPr/>
        <w:t>de</w:t>
      </w:r>
      <w:r>
        <w:rPr>
          <w:spacing w:val="-3"/>
        </w:rPr>
        <w:t> </w:t>
      </w:r>
      <w:r>
        <w:rPr/>
        <w:t>Abastos</w:t>
      </w:r>
      <w:r>
        <w:rPr>
          <w:spacing w:val="-4"/>
        </w:rPr>
        <w:t> </w:t>
      </w:r>
      <w:r>
        <w:rPr/>
        <w:t>Las</w:t>
      </w:r>
      <w:r>
        <w:rPr>
          <w:spacing w:val="-4"/>
        </w:rPr>
        <w:t> </w:t>
      </w:r>
      <w:r>
        <w:rPr/>
        <w:t>Mercedes</w:t>
      </w:r>
      <w:r>
        <w:rPr>
          <w:spacing w:val="-4"/>
        </w:rPr>
        <w:t> </w:t>
      </w:r>
      <w:r>
        <w:rPr/>
        <w:t>de</w:t>
      </w:r>
      <w:r>
        <w:rPr>
          <w:spacing w:val="-5"/>
        </w:rPr>
        <w:t> </w:t>
      </w:r>
      <w:r>
        <w:rPr/>
        <w:t>Juliaca</w:t>
      </w:r>
      <w:r>
        <w:rPr>
          <w:spacing w:val="-4"/>
        </w:rPr>
        <w:t> </w:t>
      </w:r>
      <w:r>
        <w:rPr/>
        <w:t>durante</w:t>
      </w:r>
      <w:r>
        <w:rPr>
          <w:spacing w:val="-5"/>
        </w:rPr>
        <w:t> </w:t>
      </w:r>
      <w:r>
        <w:rPr/>
        <w:t>el</w:t>
      </w:r>
      <w:r>
        <w:rPr>
          <w:spacing w:val="-5"/>
        </w:rPr>
        <w:t> </w:t>
      </w:r>
      <w:r>
        <w:rPr/>
        <w:t>año</w:t>
      </w:r>
      <w:r>
        <w:rPr>
          <w:spacing w:val="-3"/>
        </w:rPr>
        <w:t> </w:t>
      </w:r>
      <w:r>
        <w:rPr/>
        <w:t>2023.</w:t>
      </w:r>
      <w:r>
        <w:rPr>
          <w:spacing w:val="-4"/>
        </w:rPr>
        <w:t> </w:t>
      </w:r>
      <w:r>
        <w:rPr/>
        <w:t>Esto</w:t>
      </w:r>
      <w:r>
        <w:rPr>
          <w:spacing w:val="-2"/>
        </w:rPr>
        <w:t> </w:t>
      </w:r>
      <w:r>
        <w:rPr/>
        <w:t>incluye a todos los comerciantes que operan en dicho centro durante el periodo mencionado,</w:t>
      </w:r>
      <w:r>
        <w:rPr>
          <w:spacing w:val="-1"/>
        </w:rPr>
        <w:t> </w:t>
      </w:r>
      <w:r>
        <w:rPr/>
        <w:t>lo</w:t>
      </w:r>
      <w:r>
        <w:rPr>
          <w:spacing w:val="-3"/>
        </w:rPr>
        <w:t> </w:t>
      </w:r>
      <w:r>
        <w:rPr/>
        <w:t>que</w:t>
      </w:r>
      <w:r>
        <w:rPr>
          <w:spacing w:val="-2"/>
        </w:rPr>
        <w:t> </w:t>
      </w:r>
      <w:r>
        <w:rPr/>
        <w:t>se</w:t>
      </w:r>
      <w:r>
        <w:rPr>
          <w:spacing w:val="-2"/>
        </w:rPr>
        <w:t> </w:t>
      </w:r>
      <w:r>
        <w:rPr/>
        <w:t>estima</w:t>
      </w:r>
      <w:r>
        <w:rPr>
          <w:spacing w:val="-2"/>
        </w:rPr>
        <w:t> </w:t>
      </w:r>
      <w:r>
        <w:rPr/>
        <w:t>en</w:t>
      </w:r>
      <w:r>
        <w:rPr>
          <w:spacing w:val="-2"/>
        </w:rPr>
        <w:t> </w:t>
      </w:r>
      <w:r>
        <w:rPr/>
        <w:t>un</w:t>
      </w:r>
      <w:r>
        <w:rPr>
          <w:spacing w:val="-2"/>
        </w:rPr>
        <w:t> </w:t>
      </w:r>
      <w:r>
        <w:rPr/>
        <w:t>total</w:t>
      </w:r>
      <w:r>
        <w:rPr>
          <w:spacing w:val="-2"/>
        </w:rPr>
        <w:t> </w:t>
      </w:r>
      <w:r>
        <w:rPr/>
        <w:t>de</w:t>
      </w:r>
      <w:r>
        <w:rPr>
          <w:spacing w:val="-2"/>
        </w:rPr>
        <w:t> </w:t>
      </w:r>
      <w:r>
        <w:rPr/>
        <w:t>aproximadamente</w:t>
      </w:r>
      <w:r>
        <w:rPr>
          <w:spacing w:val="-2"/>
        </w:rPr>
        <w:t> </w:t>
      </w:r>
      <w:r>
        <w:rPr/>
        <w:t>466</w:t>
      </w:r>
      <w:r>
        <w:rPr>
          <w:spacing w:val="-2"/>
        </w:rPr>
        <w:t> </w:t>
      </w:r>
      <w:r>
        <w:rPr/>
        <w:t>comerciantes.</w:t>
      </w:r>
    </w:p>
    <w:p>
      <w:pPr>
        <w:pStyle w:val="Heading4"/>
        <w:numPr>
          <w:ilvl w:val="2"/>
          <w:numId w:val="17"/>
        </w:numPr>
        <w:tabs>
          <w:tab w:pos="1165" w:val="left" w:leader="none"/>
        </w:tabs>
        <w:spacing w:line="240" w:lineRule="auto" w:before="0" w:after="0"/>
        <w:ind w:left="1165" w:right="0" w:hanging="606"/>
        <w:jc w:val="both"/>
      </w:pPr>
      <w:bookmarkStart w:name="_bookmark49" w:id="50"/>
      <w:bookmarkEnd w:id="50"/>
      <w:r>
        <w:rPr>
          <w:b w:val="0"/>
          <w:i w:val="0"/>
        </w:rPr>
      </w:r>
      <w:r>
        <w:rPr>
          <w:spacing w:val="-2"/>
        </w:rPr>
        <w:t>Muestra</w:t>
      </w:r>
    </w:p>
    <w:p>
      <w:pPr>
        <w:pStyle w:val="BodyText"/>
        <w:rPr>
          <w:b/>
          <w:i/>
        </w:rPr>
      </w:pPr>
    </w:p>
    <w:p>
      <w:pPr>
        <w:pStyle w:val="BodyText"/>
        <w:spacing w:line="480" w:lineRule="auto"/>
        <w:ind w:left="1135" w:right="996" w:firstLine="424"/>
        <w:jc w:val="both"/>
      </w:pPr>
      <w:r>
        <w:rPr/>
        <w:t>Se utilizó la fórmula adecuada para calcular el tamaño de la muestra, que se fijó en 174 personas:</w:t>
      </w:r>
    </w:p>
    <w:p>
      <w:pPr>
        <w:pStyle w:val="BodyText"/>
        <w:spacing w:line="480" w:lineRule="auto"/>
        <w:ind w:left="1135" w:right="1054" w:firstLine="425"/>
        <w:jc w:val="both"/>
      </w:pPr>
      <w:r>
        <w:rPr/>
        <w:t>Optamos por utilizar una encuesta en nuestra investigación sobre cómo el </w:t>
      </w:r>
      <w:r>
        <w:rPr>
          <w:spacing w:val="-2"/>
        </w:rPr>
        <w:t>Tributo</w:t>
      </w:r>
      <w:r>
        <w:rPr>
          <w:spacing w:val="-12"/>
        </w:rPr>
        <w:t> </w:t>
      </w:r>
      <w:r>
        <w:rPr>
          <w:spacing w:val="-2"/>
        </w:rPr>
        <w:t>General</w:t>
      </w:r>
      <w:r>
        <w:rPr>
          <w:spacing w:val="-12"/>
        </w:rPr>
        <w:t> </w:t>
      </w:r>
      <w:r>
        <w:rPr>
          <w:spacing w:val="-2"/>
        </w:rPr>
        <w:t>sobre</w:t>
      </w:r>
      <w:r>
        <w:rPr>
          <w:spacing w:val="-12"/>
        </w:rPr>
        <w:t> </w:t>
      </w:r>
      <w:r>
        <w:rPr>
          <w:spacing w:val="-2"/>
        </w:rPr>
        <w:t>las</w:t>
      </w:r>
      <w:r>
        <w:rPr>
          <w:spacing w:val="-13"/>
        </w:rPr>
        <w:t> </w:t>
      </w:r>
      <w:r>
        <w:rPr>
          <w:spacing w:val="-2"/>
        </w:rPr>
        <w:t>Ventas</w:t>
      </w:r>
      <w:r>
        <w:rPr>
          <w:spacing w:val="-11"/>
        </w:rPr>
        <w:t> </w:t>
      </w:r>
      <w:r>
        <w:rPr>
          <w:spacing w:val="-2"/>
        </w:rPr>
        <w:t>(IGV)</w:t>
      </w:r>
      <w:r>
        <w:rPr>
          <w:spacing w:val="-10"/>
        </w:rPr>
        <w:t> </w:t>
      </w:r>
      <w:r>
        <w:rPr>
          <w:spacing w:val="-2"/>
        </w:rPr>
        <w:t>influye</w:t>
      </w:r>
      <w:r>
        <w:rPr>
          <w:spacing w:val="-12"/>
        </w:rPr>
        <w:t> </w:t>
      </w:r>
      <w:r>
        <w:rPr>
          <w:spacing w:val="-2"/>
        </w:rPr>
        <w:t>en</w:t>
      </w:r>
      <w:r>
        <w:rPr>
          <w:spacing w:val="-11"/>
        </w:rPr>
        <w:t> </w:t>
      </w:r>
      <w:r>
        <w:rPr>
          <w:spacing w:val="-2"/>
        </w:rPr>
        <w:t>la</w:t>
      </w:r>
      <w:r>
        <w:rPr>
          <w:spacing w:val="-13"/>
        </w:rPr>
        <w:t> </w:t>
      </w:r>
      <w:r>
        <w:rPr>
          <w:spacing w:val="-2"/>
        </w:rPr>
        <w:t>Percepción</w:t>
      </w:r>
      <w:r>
        <w:rPr>
          <w:spacing w:val="-11"/>
        </w:rPr>
        <w:t> </w:t>
      </w:r>
      <w:r>
        <w:rPr>
          <w:spacing w:val="-2"/>
        </w:rPr>
        <w:t>Económica</w:t>
      </w:r>
      <w:r>
        <w:rPr>
          <w:spacing w:val="-12"/>
        </w:rPr>
        <w:t> </w:t>
      </w:r>
      <w:r>
        <w:rPr>
          <w:spacing w:val="-2"/>
        </w:rPr>
        <w:t>de</w:t>
      </w:r>
      <w:r>
        <w:rPr>
          <w:spacing w:val="-12"/>
        </w:rPr>
        <w:t> </w:t>
      </w:r>
      <w:r>
        <w:rPr>
          <w:spacing w:val="-2"/>
        </w:rPr>
        <w:t>los </w:t>
      </w:r>
      <w:r>
        <w:rPr/>
        <w:t>comerciantes</w:t>
      </w:r>
      <w:r>
        <w:rPr>
          <w:spacing w:val="40"/>
        </w:rPr>
        <w:t> </w:t>
      </w:r>
      <w:r>
        <w:rPr/>
        <w:t>del</w:t>
      </w:r>
      <w:r>
        <w:rPr>
          <w:spacing w:val="-10"/>
        </w:rPr>
        <w:t> </w:t>
      </w:r>
      <w:r>
        <w:rPr/>
        <w:t>centro</w:t>
      </w:r>
      <w:r>
        <w:rPr>
          <w:spacing w:val="-10"/>
        </w:rPr>
        <w:t> </w:t>
      </w:r>
      <w:r>
        <w:rPr/>
        <w:t>de</w:t>
      </w:r>
      <w:r>
        <w:rPr>
          <w:spacing w:val="-10"/>
        </w:rPr>
        <w:t> </w:t>
      </w:r>
      <w:r>
        <w:rPr/>
        <w:t>abastos</w:t>
      </w:r>
      <w:r>
        <w:rPr>
          <w:spacing w:val="-6"/>
        </w:rPr>
        <w:t> </w:t>
      </w:r>
      <w:r>
        <w:rPr/>
        <w:t>Las</w:t>
      </w:r>
      <w:r>
        <w:rPr>
          <w:spacing w:val="-9"/>
        </w:rPr>
        <w:t> </w:t>
      </w:r>
      <w:r>
        <w:rPr/>
        <w:t>Mercedes</w:t>
      </w:r>
      <w:r>
        <w:rPr>
          <w:spacing w:val="-8"/>
        </w:rPr>
        <w:t> </w:t>
      </w:r>
      <w:r>
        <w:rPr/>
        <w:t>de</w:t>
      </w:r>
      <w:r>
        <w:rPr>
          <w:spacing w:val="-10"/>
        </w:rPr>
        <w:t> </w:t>
      </w:r>
      <w:r>
        <w:rPr/>
        <w:t>Juliaca</w:t>
      </w:r>
      <w:r>
        <w:rPr>
          <w:spacing w:val="-10"/>
        </w:rPr>
        <w:t> </w:t>
      </w:r>
      <w:r>
        <w:rPr/>
        <w:t>en</w:t>
      </w:r>
      <w:r>
        <w:rPr>
          <w:spacing w:val="-9"/>
        </w:rPr>
        <w:t> </w:t>
      </w:r>
      <w:r>
        <w:rPr/>
        <w:t>el</w:t>
      </w:r>
      <w:r>
        <w:rPr>
          <w:spacing w:val="-9"/>
        </w:rPr>
        <w:t> </w:t>
      </w:r>
      <w:r>
        <w:rPr/>
        <w:t>año</w:t>
      </w:r>
      <w:r>
        <w:rPr>
          <w:spacing w:val="-10"/>
        </w:rPr>
        <w:t> </w:t>
      </w:r>
      <w:r>
        <w:rPr/>
        <w:t>2023.</w:t>
      </w:r>
      <w:r>
        <w:rPr>
          <w:spacing w:val="-10"/>
        </w:rPr>
        <w:t> </w:t>
      </w:r>
      <w:r>
        <w:rPr/>
        <w:t>Para </w:t>
      </w:r>
      <w:r>
        <w:rPr>
          <w:spacing w:val="-2"/>
        </w:rPr>
        <w:t>garantizar</w:t>
      </w:r>
      <w:r>
        <w:rPr>
          <w:spacing w:val="-8"/>
        </w:rPr>
        <w:t> </w:t>
      </w:r>
      <w:r>
        <w:rPr>
          <w:spacing w:val="-2"/>
        </w:rPr>
        <w:t>que</w:t>
      </w:r>
      <w:r>
        <w:rPr>
          <w:spacing w:val="-3"/>
        </w:rPr>
        <w:t> </w:t>
      </w:r>
      <w:r>
        <w:rPr>
          <w:spacing w:val="-2"/>
        </w:rPr>
        <w:t>la</w:t>
      </w:r>
      <w:r>
        <w:rPr>
          <w:spacing w:val="-5"/>
        </w:rPr>
        <w:t> </w:t>
      </w:r>
      <w:r>
        <w:rPr>
          <w:spacing w:val="-2"/>
        </w:rPr>
        <w:t>muestra</w:t>
      </w:r>
      <w:r>
        <w:rPr>
          <w:spacing w:val="-3"/>
        </w:rPr>
        <w:t> </w:t>
      </w:r>
      <w:r>
        <w:rPr>
          <w:spacing w:val="-2"/>
        </w:rPr>
        <w:t>fuera</w:t>
      </w:r>
      <w:r>
        <w:rPr>
          <w:spacing w:val="-5"/>
        </w:rPr>
        <w:t> </w:t>
      </w:r>
      <w:r>
        <w:rPr>
          <w:spacing w:val="-2"/>
        </w:rPr>
        <w:t>representativa,</w:t>
      </w:r>
      <w:r>
        <w:rPr>
          <w:spacing w:val="-5"/>
        </w:rPr>
        <w:t> </w:t>
      </w:r>
      <w:r>
        <w:rPr>
          <w:spacing w:val="-2"/>
        </w:rPr>
        <w:t>aplicamos</w:t>
      </w:r>
      <w:r>
        <w:rPr>
          <w:spacing w:val="-4"/>
        </w:rPr>
        <w:t> </w:t>
      </w:r>
      <w:r>
        <w:rPr>
          <w:spacing w:val="-2"/>
        </w:rPr>
        <w:t>un</w:t>
      </w:r>
      <w:r>
        <w:rPr>
          <w:spacing w:val="-3"/>
        </w:rPr>
        <w:t> </w:t>
      </w:r>
      <w:r>
        <w:rPr>
          <w:spacing w:val="-2"/>
        </w:rPr>
        <w:t>método</w:t>
      </w:r>
      <w:r>
        <w:rPr>
          <w:spacing w:val="-5"/>
        </w:rPr>
        <w:t> </w:t>
      </w:r>
      <w:r>
        <w:rPr>
          <w:spacing w:val="-2"/>
        </w:rPr>
        <w:t>riguroso</w:t>
      </w:r>
      <w:r>
        <w:rPr>
          <w:spacing w:val="-3"/>
        </w:rPr>
        <w:t> </w:t>
      </w:r>
      <w:r>
        <w:rPr>
          <w:spacing w:val="-4"/>
        </w:rPr>
        <w:t>para</w:t>
      </w:r>
    </w:p>
    <w:p>
      <w:pPr>
        <w:pStyle w:val="BodyText"/>
        <w:spacing w:after="0" w:line="480" w:lineRule="auto"/>
        <w:jc w:val="both"/>
        <w:sectPr>
          <w:headerReference w:type="default" r:id="rId48"/>
          <w:footerReference w:type="default" r:id="rId49"/>
          <w:pgSz w:w="11910" w:h="16840"/>
          <w:pgMar w:header="0" w:footer="693" w:top="1340" w:bottom="880" w:left="1559" w:right="425"/>
          <w:pgNumType w:start="40"/>
        </w:sectPr>
      </w:pPr>
    </w:p>
    <w:p>
      <w:pPr>
        <w:pStyle w:val="BodyText"/>
        <w:spacing w:line="480" w:lineRule="auto" w:before="66"/>
        <w:ind w:left="1135" w:right="1058"/>
        <w:jc w:val="both"/>
      </w:pPr>
      <w:r>
        <w:rPr>
          <w:spacing w:val="-2"/>
        </w:rPr>
        <w:t>calcular</w:t>
      </w:r>
      <w:r>
        <w:rPr>
          <w:spacing w:val="-6"/>
        </w:rPr>
        <w:t> </w:t>
      </w:r>
      <w:r>
        <w:rPr>
          <w:spacing w:val="-2"/>
        </w:rPr>
        <w:t>su</w:t>
      </w:r>
      <w:r>
        <w:rPr>
          <w:spacing w:val="-4"/>
        </w:rPr>
        <w:t> </w:t>
      </w:r>
      <w:r>
        <w:rPr>
          <w:spacing w:val="-2"/>
        </w:rPr>
        <w:t>tamaño,</w:t>
      </w:r>
      <w:r>
        <w:rPr>
          <w:spacing w:val="-4"/>
        </w:rPr>
        <w:t> </w:t>
      </w:r>
      <w:r>
        <w:rPr>
          <w:spacing w:val="-2"/>
        </w:rPr>
        <w:t>utilizando</w:t>
      </w:r>
      <w:r>
        <w:rPr>
          <w:spacing w:val="-4"/>
        </w:rPr>
        <w:t> </w:t>
      </w:r>
      <w:r>
        <w:rPr>
          <w:spacing w:val="-2"/>
        </w:rPr>
        <w:t>una</w:t>
      </w:r>
      <w:r>
        <w:rPr>
          <w:spacing w:val="-4"/>
        </w:rPr>
        <w:t> </w:t>
      </w:r>
      <w:r>
        <w:rPr>
          <w:spacing w:val="-2"/>
        </w:rPr>
        <w:t>fórmula</w:t>
      </w:r>
      <w:r>
        <w:rPr>
          <w:spacing w:val="-4"/>
        </w:rPr>
        <w:t> </w:t>
      </w:r>
      <w:r>
        <w:rPr>
          <w:spacing w:val="-2"/>
        </w:rPr>
        <w:t>estadística</w:t>
      </w:r>
      <w:r>
        <w:rPr>
          <w:spacing w:val="-4"/>
        </w:rPr>
        <w:t> </w:t>
      </w:r>
      <w:r>
        <w:rPr>
          <w:spacing w:val="-2"/>
        </w:rPr>
        <w:t>adecuada.</w:t>
      </w:r>
      <w:r>
        <w:rPr>
          <w:spacing w:val="-4"/>
        </w:rPr>
        <w:t> </w:t>
      </w:r>
      <w:r>
        <w:rPr>
          <w:spacing w:val="-2"/>
        </w:rPr>
        <w:t>Este</w:t>
      </w:r>
      <w:r>
        <w:rPr>
          <w:spacing w:val="-4"/>
        </w:rPr>
        <w:t> </w:t>
      </w:r>
      <w:r>
        <w:rPr>
          <w:spacing w:val="-2"/>
        </w:rPr>
        <w:t>enfoque</w:t>
      </w:r>
      <w:r>
        <w:rPr>
          <w:spacing w:val="-6"/>
        </w:rPr>
        <w:t> </w:t>
      </w:r>
      <w:r>
        <w:rPr>
          <w:spacing w:val="-2"/>
        </w:rPr>
        <w:t>nos permitió</w:t>
      </w:r>
      <w:r>
        <w:rPr>
          <w:spacing w:val="-5"/>
        </w:rPr>
        <w:t> </w:t>
      </w:r>
      <w:r>
        <w:rPr>
          <w:spacing w:val="-2"/>
        </w:rPr>
        <w:t>determinar</w:t>
      </w:r>
      <w:r>
        <w:rPr>
          <w:spacing w:val="-5"/>
        </w:rPr>
        <w:t> </w:t>
      </w:r>
      <w:r>
        <w:rPr>
          <w:spacing w:val="-2"/>
        </w:rPr>
        <w:t>con</w:t>
      </w:r>
      <w:r>
        <w:rPr>
          <w:spacing w:val="-5"/>
        </w:rPr>
        <w:t> </w:t>
      </w:r>
      <w:r>
        <w:rPr>
          <w:spacing w:val="-2"/>
        </w:rPr>
        <w:t>precisión</w:t>
      </w:r>
      <w:r>
        <w:rPr>
          <w:spacing w:val="-5"/>
        </w:rPr>
        <w:t> </w:t>
      </w:r>
      <w:r>
        <w:rPr>
          <w:spacing w:val="-2"/>
        </w:rPr>
        <w:t>la</w:t>
      </w:r>
      <w:r>
        <w:rPr>
          <w:spacing w:val="-3"/>
        </w:rPr>
        <w:t> </w:t>
      </w:r>
      <w:r>
        <w:rPr>
          <w:spacing w:val="-2"/>
        </w:rPr>
        <w:t>cantidad</w:t>
      </w:r>
      <w:r>
        <w:rPr>
          <w:spacing w:val="-5"/>
        </w:rPr>
        <w:t> </w:t>
      </w:r>
      <w:r>
        <w:rPr>
          <w:spacing w:val="-2"/>
        </w:rPr>
        <w:t>óptima</w:t>
      </w:r>
      <w:r>
        <w:rPr>
          <w:spacing w:val="-5"/>
        </w:rPr>
        <w:t> </w:t>
      </w:r>
      <w:r>
        <w:rPr>
          <w:spacing w:val="-2"/>
        </w:rPr>
        <w:t>de</w:t>
      </w:r>
      <w:r>
        <w:rPr>
          <w:spacing w:val="-5"/>
        </w:rPr>
        <w:t> </w:t>
      </w:r>
      <w:r>
        <w:rPr>
          <w:spacing w:val="-2"/>
        </w:rPr>
        <w:t>participantes,</w:t>
      </w:r>
      <w:r>
        <w:rPr>
          <w:spacing w:val="-5"/>
        </w:rPr>
        <w:t> </w:t>
      </w:r>
      <w:r>
        <w:rPr>
          <w:spacing w:val="-2"/>
        </w:rPr>
        <w:t>asegurando </w:t>
      </w:r>
      <w:r>
        <w:rPr/>
        <w:t>la</w:t>
      </w:r>
      <w:r>
        <w:rPr>
          <w:spacing w:val="-5"/>
        </w:rPr>
        <w:t> </w:t>
      </w:r>
      <w:r>
        <w:rPr/>
        <w:t>confiabilidad</w:t>
      </w:r>
      <w:r>
        <w:rPr>
          <w:spacing w:val="-3"/>
        </w:rPr>
        <w:t> </w:t>
      </w:r>
      <w:r>
        <w:rPr/>
        <w:t>y</w:t>
      </w:r>
      <w:r>
        <w:rPr>
          <w:spacing w:val="-3"/>
        </w:rPr>
        <w:t> </w:t>
      </w:r>
      <w:r>
        <w:rPr/>
        <w:t>validez</w:t>
      </w:r>
      <w:r>
        <w:rPr>
          <w:spacing w:val="-5"/>
        </w:rPr>
        <w:t> </w:t>
      </w:r>
      <w:r>
        <w:rPr/>
        <w:t>de</w:t>
      </w:r>
      <w:r>
        <w:rPr>
          <w:spacing w:val="-5"/>
        </w:rPr>
        <w:t> </w:t>
      </w:r>
      <w:r>
        <w:rPr/>
        <w:t>la</w:t>
      </w:r>
      <w:r>
        <w:rPr>
          <w:spacing w:val="-5"/>
        </w:rPr>
        <w:t> </w:t>
      </w:r>
      <w:r>
        <w:rPr/>
        <w:t>información</w:t>
      </w:r>
      <w:r>
        <w:rPr>
          <w:spacing w:val="-3"/>
        </w:rPr>
        <w:t> </w:t>
      </w:r>
      <w:r>
        <w:rPr/>
        <w:t>recopilada.</w:t>
      </w:r>
    </w:p>
    <w:p>
      <w:pPr>
        <w:pStyle w:val="BodyText"/>
        <w:spacing w:line="480" w:lineRule="auto" w:before="201"/>
        <w:ind w:left="995" w:right="996" w:firstLine="708"/>
        <w:jc w:val="both"/>
      </w:pPr>
      <w:r>
        <w:rPr/>
        <w:t>La muestra se eligió de forma aleatoria probabilística y se estableció su </w:t>
      </w:r>
      <w:r>
        <w:rPr>
          <w:spacing w:val="-2"/>
        </w:rPr>
        <w:t>tamaño.</w:t>
      </w:r>
    </w:p>
    <w:p>
      <w:pPr>
        <w:pStyle w:val="BodyText"/>
        <w:spacing w:before="160"/>
        <w:ind w:left="1137"/>
      </w:pPr>
      <w:r>
        <w:rPr>
          <w:spacing w:val="-2"/>
        </w:rPr>
        <w:t>Donde:</w:t>
      </w:r>
    </w:p>
    <w:p>
      <w:pPr>
        <w:pStyle w:val="BodyText"/>
        <w:spacing w:before="76"/>
        <w:rPr>
          <w:sz w:val="20"/>
        </w:rPr>
      </w:pPr>
      <w:r>
        <w:rPr>
          <w:sz w:val="20"/>
        </w:rPr>
        <w:drawing>
          <wp:anchor distT="0" distB="0" distL="0" distR="0" allowOverlap="1" layoutInCell="1" locked="0" behindDoc="1" simplePos="0" relativeHeight="487612928">
            <wp:simplePos x="0" y="0"/>
            <wp:positionH relativeFrom="page">
              <wp:posOffset>3264055</wp:posOffset>
            </wp:positionH>
            <wp:positionV relativeFrom="paragraph">
              <wp:posOffset>209862</wp:posOffset>
            </wp:positionV>
            <wp:extent cx="1423527" cy="366045"/>
            <wp:effectExtent l="0" t="0" r="0" b="0"/>
            <wp:wrapTopAndBottom/>
            <wp:docPr id="134" name="Image 134"/>
            <wp:cNvGraphicFramePr>
              <a:graphicFrameLocks/>
            </wp:cNvGraphicFramePr>
            <a:graphic>
              <a:graphicData uri="http://schemas.openxmlformats.org/drawingml/2006/picture">
                <pic:pic>
                  <pic:nvPicPr>
                    <pic:cNvPr id="134" name="Image 134"/>
                    <pic:cNvPicPr/>
                  </pic:nvPicPr>
                  <pic:blipFill>
                    <a:blip r:embed="rId50" cstate="print"/>
                    <a:stretch>
                      <a:fillRect/>
                    </a:stretch>
                  </pic:blipFill>
                  <pic:spPr>
                    <a:xfrm>
                      <a:off x="0" y="0"/>
                      <a:ext cx="1423527" cy="366045"/>
                    </a:xfrm>
                    <a:prstGeom prst="rect">
                      <a:avLst/>
                    </a:prstGeom>
                  </pic:spPr>
                </pic:pic>
              </a:graphicData>
            </a:graphic>
          </wp:anchor>
        </w:drawing>
      </w:r>
    </w:p>
    <w:p>
      <w:pPr>
        <w:pStyle w:val="BodyText"/>
        <w:spacing w:line="532" w:lineRule="auto" w:before="241"/>
        <w:ind w:left="1559" w:right="5646"/>
      </w:pPr>
      <w:r>
        <w:rPr/>
        <w:t>N</w:t>
      </w:r>
      <w:r>
        <w:rPr>
          <w:spacing w:val="-8"/>
        </w:rPr>
        <w:t> </w:t>
      </w:r>
      <w:r>
        <w:rPr/>
        <w:t>=</w:t>
      </w:r>
      <w:r>
        <w:rPr>
          <w:spacing w:val="-7"/>
        </w:rPr>
        <w:t> </w:t>
      </w:r>
      <w:r>
        <w:rPr/>
        <w:t>tamaño</w:t>
      </w:r>
      <w:r>
        <w:rPr>
          <w:spacing w:val="-8"/>
        </w:rPr>
        <w:t> </w:t>
      </w:r>
      <w:r>
        <w:rPr/>
        <w:t>de</w:t>
      </w:r>
      <w:r>
        <w:rPr>
          <w:spacing w:val="-10"/>
        </w:rPr>
        <w:t> </w:t>
      </w:r>
      <w:r>
        <w:rPr/>
        <w:t>la</w:t>
      </w:r>
      <w:r>
        <w:rPr>
          <w:spacing w:val="-8"/>
        </w:rPr>
        <w:t> </w:t>
      </w:r>
      <w:r>
        <w:rPr/>
        <w:t>población n = tamaño de la muestra</w:t>
      </w:r>
    </w:p>
    <w:p>
      <w:pPr>
        <w:pStyle w:val="BodyText"/>
        <w:spacing w:line="532" w:lineRule="auto" w:before="3"/>
        <w:ind w:left="1559" w:right="6387"/>
      </w:pPr>
      <w:r>
        <w:rPr/>
        <w:t>e</w:t>
      </w:r>
      <w:r>
        <w:rPr>
          <w:spacing w:val="-3"/>
        </w:rPr>
        <w:t> </w:t>
      </w:r>
      <w:r>
        <w:rPr/>
        <w:t>=</w:t>
      </w:r>
      <w:r>
        <w:rPr>
          <w:spacing w:val="-3"/>
        </w:rPr>
        <w:t> </w:t>
      </w:r>
      <w:r>
        <w:rPr/>
        <w:t>precisión</w:t>
      </w:r>
      <w:r>
        <w:rPr>
          <w:spacing w:val="-3"/>
        </w:rPr>
        <w:t> </w:t>
      </w:r>
      <w:r>
        <w:rPr/>
        <w:t>o</w:t>
      </w:r>
      <w:r>
        <w:rPr>
          <w:spacing w:val="-3"/>
        </w:rPr>
        <w:t> </w:t>
      </w:r>
      <w:r>
        <w:rPr/>
        <w:t>error Z = grado de</w:t>
      </w:r>
      <w:r>
        <w:rPr>
          <w:spacing w:val="-1"/>
        </w:rPr>
        <w:t> </w:t>
      </w:r>
      <w:r>
        <w:rPr>
          <w:spacing w:val="-2"/>
        </w:rPr>
        <w:t>certeza</w:t>
      </w:r>
    </w:p>
    <w:p>
      <w:pPr>
        <w:pStyle w:val="BodyText"/>
        <w:spacing w:before="3"/>
        <w:ind w:left="1559"/>
      </w:pPr>
      <w:r>
        <w:rPr/>
        <w:t>p</w:t>
      </w:r>
      <w:r>
        <w:rPr>
          <w:spacing w:val="-2"/>
        </w:rPr>
        <w:t> </w:t>
      </w:r>
      <w:r>
        <w:rPr/>
        <w:t>=</w:t>
      </w:r>
      <w:r>
        <w:rPr>
          <w:spacing w:val="-1"/>
        </w:rPr>
        <w:t> </w:t>
      </w:r>
      <w:r>
        <w:rPr/>
        <w:t>variabilidad</w:t>
      </w:r>
      <w:r>
        <w:rPr>
          <w:spacing w:val="-1"/>
        </w:rPr>
        <w:t> </w:t>
      </w:r>
      <w:r>
        <w:rPr/>
        <w:t>favorable</w:t>
      </w:r>
      <w:r>
        <w:rPr>
          <w:spacing w:val="-2"/>
        </w:rPr>
        <w:t> </w:t>
      </w:r>
      <w:r>
        <w:rPr/>
        <w:t>(probabilidad</w:t>
      </w:r>
      <w:r>
        <w:rPr>
          <w:spacing w:val="-1"/>
        </w:rPr>
        <w:t> </w:t>
      </w:r>
      <w:r>
        <w:rPr/>
        <w:t>de</w:t>
      </w:r>
      <w:r>
        <w:rPr>
          <w:spacing w:val="-1"/>
        </w:rPr>
        <w:t> </w:t>
      </w:r>
      <w:r>
        <w:rPr>
          <w:spacing w:val="-2"/>
        </w:rPr>
        <w:t>logro)</w:t>
      </w:r>
    </w:p>
    <w:p>
      <w:pPr>
        <w:pStyle w:val="BodyText"/>
        <w:spacing w:before="62"/>
      </w:pPr>
    </w:p>
    <w:p>
      <w:pPr>
        <w:pStyle w:val="BodyText"/>
        <w:ind w:left="1559"/>
      </w:pPr>
      <w:r>
        <w:rPr/>
        <w:t>q</w:t>
      </w:r>
      <w:r>
        <w:rPr>
          <w:spacing w:val="-2"/>
        </w:rPr>
        <w:t> </w:t>
      </w:r>
      <w:r>
        <w:rPr/>
        <w:t>=</w:t>
      </w:r>
      <w:r>
        <w:rPr>
          <w:spacing w:val="-1"/>
        </w:rPr>
        <w:t> </w:t>
      </w:r>
      <w:r>
        <w:rPr/>
        <w:t>variabilidad</w:t>
      </w:r>
      <w:r>
        <w:rPr>
          <w:spacing w:val="-1"/>
        </w:rPr>
        <w:t> </w:t>
      </w:r>
      <w:r>
        <w:rPr/>
        <w:t>desfavorable</w:t>
      </w:r>
      <w:r>
        <w:rPr>
          <w:spacing w:val="-1"/>
        </w:rPr>
        <w:t> </w:t>
      </w:r>
      <w:r>
        <w:rPr/>
        <w:t>(probabilidad</w:t>
      </w:r>
      <w:r>
        <w:rPr>
          <w:spacing w:val="-1"/>
        </w:rPr>
        <w:t> </w:t>
      </w:r>
      <w:r>
        <w:rPr/>
        <w:t>de</w:t>
      </w:r>
      <w:r>
        <w:rPr>
          <w:spacing w:val="-3"/>
        </w:rPr>
        <w:t> </w:t>
      </w:r>
      <w:r>
        <w:rPr/>
        <w:t>no</w:t>
      </w:r>
      <w:r>
        <w:rPr>
          <w:spacing w:val="-1"/>
        </w:rPr>
        <w:t> </w:t>
      </w:r>
      <w:r>
        <w:rPr>
          <w:spacing w:val="-2"/>
        </w:rPr>
        <w:t>éxito)</w:t>
      </w:r>
    </w:p>
    <w:p>
      <w:pPr>
        <w:pStyle w:val="BodyText"/>
        <w:spacing w:before="54"/>
      </w:pPr>
    </w:p>
    <w:p>
      <w:pPr>
        <w:pStyle w:val="BodyText"/>
        <w:spacing w:line="242" w:lineRule="exact"/>
        <w:ind w:left="2535"/>
        <w:rPr>
          <w:rFonts w:ascii="Cambria Math"/>
        </w:rPr>
      </w:pPr>
      <w:r>
        <w:rPr>
          <w:rFonts w:ascii="Cambria Math"/>
          <w:spacing w:val="-2"/>
          <w:position w:val="1"/>
        </w:rPr>
        <w:t>(</w:t>
      </w:r>
      <w:r>
        <w:rPr>
          <w:rFonts w:ascii="Cambria Math"/>
          <w:spacing w:val="-2"/>
        </w:rPr>
        <w:t>1.96</w:t>
      </w:r>
      <w:r>
        <w:rPr>
          <w:rFonts w:ascii="Cambria Math"/>
          <w:spacing w:val="-2"/>
          <w:position w:val="1"/>
        </w:rPr>
        <w:t>)</w:t>
      </w:r>
      <w:r>
        <w:rPr>
          <w:rFonts w:ascii="Cambria Math"/>
          <w:spacing w:val="-2"/>
          <w:position w:val="1"/>
          <w:vertAlign w:val="superscript"/>
        </w:rPr>
        <w:t>2</w:t>
      </w:r>
      <w:r>
        <w:rPr>
          <w:rFonts w:ascii="Cambria Math"/>
          <w:spacing w:val="-2"/>
          <w:vertAlign w:val="baseline"/>
        </w:rPr>
        <w:t>(0.5)(0.5)(318)</w:t>
      </w:r>
    </w:p>
    <w:p>
      <w:pPr>
        <w:pStyle w:val="BodyText"/>
        <w:spacing w:line="392" w:lineRule="exact"/>
        <w:ind w:left="1559"/>
        <w:rPr>
          <w:rFonts w:ascii="Cambria Math" w:eastAsia="Cambria Math"/>
        </w:rPr>
      </w:pPr>
      <w:r>
        <w:rPr>
          <w:rFonts w:ascii="Cambria Math" w:eastAsia="Cambria Math"/>
        </w:rPr>
        <mc:AlternateContent>
          <mc:Choice Requires="wps">
            <w:drawing>
              <wp:anchor distT="0" distB="0" distL="0" distR="0" allowOverlap="1" layoutInCell="1" locked="0" behindDoc="1" simplePos="0" relativeHeight="486008832">
                <wp:simplePos x="0" y="0"/>
                <wp:positionH relativeFrom="page">
                  <wp:posOffset>2268601</wp:posOffset>
                </wp:positionH>
                <wp:positionV relativeFrom="paragraph">
                  <wp:posOffset>65058</wp:posOffset>
                </wp:positionV>
                <wp:extent cx="2174875" cy="10160"/>
                <wp:effectExtent l="0" t="0" r="0" b="0"/>
                <wp:wrapNone/>
                <wp:docPr id="135" name="Graphic 135"/>
                <wp:cNvGraphicFramePr>
                  <a:graphicFrameLocks/>
                </wp:cNvGraphicFramePr>
                <a:graphic>
                  <a:graphicData uri="http://schemas.microsoft.com/office/word/2010/wordprocessingShape">
                    <wps:wsp>
                      <wps:cNvPr id="135" name="Graphic 135"/>
                      <wps:cNvSpPr/>
                      <wps:spPr>
                        <a:xfrm>
                          <a:off x="0" y="0"/>
                          <a:ext cx="2174875" cy="10160"/>
                        </a:xfrm>
                        <a:custGeom>
                          <a:avLst/>
                          <a:gdLst/>
                          <a:ahLst/>
                          <a:cxnLst/>
                          <a:rect l="l" t="t" r="r" b="b"/>
                          <a:pathLst>
                            <a:path w="2174875" h="10160">
                              <a:moveTo>
                                <a:pt x="2174621" y="0"/>
                              </a:moveTo>
                              <a:lnTo>
                                <a:pt x="0" y="0"/>
                              </a:lnTo>
                              <a:lnTo>
                                <a:pt x="0" y="10160"/>
                              </a:lnTo>
                              <a:lnTo>
                                <a:pt x="2174621" y="10160"/>
                              </a:lnTo>
                              <a:lnTo>
                                <a:pt x="217462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78.630005pt;margin-top:5.122685pt;width:171.23pt;height:.80002pt;mso-position-horizontal-relative:page;mso-position-vertical-relative:paragraph;z-index:-17307648" id="docshape97" filled="true" fillcolor="#000000" stroked="false">
                <v:fill type="solid"/>
                <w10:wrap type="none"/>
              </v:rect>
            </w:pict>
          </mc:Fallback>
        </mc:AlternateContent>
      </w:r>
      <w:r>
        <w:rPr>
          <w:rFonts w:ascii="Cambria Math" w:eastAsia="Cambria Math"/>
          <w:position w:val="16"/>
        </w:rPr>
        <w:t>𝑛</w:t>
      </w:r>
      <w:r>
        <w:rPr>
          <w:rFonts w:ascii="Cambria Math" w:eastAsia="Cambria Math"/>
          <w:spacing w:val="19"/>
          <w:position w:val="16"/>
        </w:rPr>
        <w:t> </w:t>
      </w:r>
      <w:r>
        <w:rPr>
          <w:rFonts w:ascii="Cambria Math" w:eastAsia="Cambria Math"/>
          <w:position w:val="16"/>
        </w:rPr>
        <w:t>=</w:t>
      </w:r>
      <w:r>
        <w:rPr>
          <w:rFonts w:ascii="Cambria Math" w:eastAsia="Cambria Math"/>
          <w:spacing w:val="15"/>
          <w:position w:val="16"/>
        </w:rPr>
        <w:t> </w:t>
      </w:r>
      <w:r>
        <w:rPr>
          <w:rFonts w:ascii="Cambria Math" w:eastAsia="Cambria Math"/>
          <w:position w:val="1"/>
        </w:rPr>
        <w:t>(</w:t>
      </w:r>
      <w:r>
        <w:rPr>
          <w:rFonts w:ascii="Cambria Math" w:eastAsia="Cambria Math"/>
        </w:rPr>
        <w:t>318</w:t>
      </w:r>
      <w:r>
        <w:rPr>
          <w:rFonts w:ascii="Cambria Math" w:eastAsia="Cambria Math"/>
          <w:position w:val="1"/>
        </w:rPr>
        <w:t>)(</w:t>
      </w:r>
      <w:r>
        <w:rPr>
          <w:rFonts w:ascii="Cambria Math" w:eastAsia="Cambria Math"/>
        </w:rPr>
        <w:t>0.05</w:t>
      </w:r>
      <w:r>
        <w:rPr>
          <w:rFonts w:ascii="Cambria Math" w:eastAsia="Cambria Math"/>
          <w:position w:val="1"/>
        </w:rPr>
        <w:t>)</w:t>
      </w:r>
      <w:r>
        <w:rPr>
          <w:rFonts w:ascii="Cambria Math" w:eastAsia="Cambria Math"/>
          <w:position w:val="1"/>
          <w:vertAlign w:val="superscript"/>
        </w:rPr>
        <w:t>2</w:t>
      </w:r>
      <w:r>
        <w:rPr>
          <w:rFonts w:ascii="Cambria Math" w:eastAsia="Cambria Math"/>
          <w:spacing w:val="12"/>
          <w:position w:val="1"/>
          <w:vertAlign w:val="baseline"/>
        </w:rPr>
        <w:t> </w:t>
      </w:r>
      <w:r>
        <w:rPr>
          <w:rFonts w:ascii="Cambria Math" w:eastAsia="Cambria Math"/>
          <w:vertAlign w:val="baseline"/>
        </w:rPr>
        <w:t>+</w:t>
      </w:r>
      <w:r>
        <w:rPr>
          <w:rFonts w:ascii="Cambria Math" w:eastAsia="Cambria Math"/>
          <w:spacing w:val="1"/>
          <w:vertAlign w:val="baseline"/>
        </w:rPr>
        <w:t> </w:t>
      </w:r>
      <w:r>
        <w:rPr>
          <w:rFonts w:ascii="Cambria Math" w:eastAsia="Cambria Math"/>
          <w:spacing w:val="-2"/>
          <w:position w:val="1"/>
          <w:vertAlign w:val="baseline"/>
        </w:rPr>
        <w:t>(</w:t>
      </w:r>
      <w:r>
        <w:rPr>
          <w:rFonts w:ascii="Cambria Math" w:eastAsia="Cambria Math"/>
          <w:spacing w:val="-2"/>
          <w:vertAlign w:val="baseline"/>
        </w:rPr>
        <w:t>1.96</w:t>
      </w:r>
      <w:r>
        <w:rPr>
          <w:rFonts w:ascii="Cambria Math" w:eastAsia="Cambria Math"/>
          <w:spacing w:val="-2"/>
          <w:position w:val="1"/>
          <w:vertAlign w:val="baseline"/>
        </w:rPr>
        <w:t>)</w:t>
      </w:r>
      <w:r>
        <w:rPr>
          <w:rFonts w:ascii="Cambria Math" w:eastAsia="Cambria Math"/>
          <w:spacing w:val="-2"/>
          <w:position w:val="1"/>
          <w:vertAlign w:val="superscript"/>
        </w:rPr>
        <w:t>2</w:t>
      </w:r>
      <w:r>
        <w:rPr>
          <w:rFonts w:ascii="Cambria Math" w:eastAsia="Cambria Math"/>
          <w:spacing w:val="-2"/>
          <w:vertAlign w:val="baseline"/>
        </w:rPr>
        <w:t>(0.5)(0.5)</w:t>
      </w:r>
    </w:p>
    <w:p>
      <w:pPr>
        <w:pStyle w:val="BodyText"/>
        <w:spacing w:line="232" w:lineRule="exact" w:before="268"/>
        <w:ind w:left="2613"/>
        <w:rPr>
          <w:rFonts w:ascii="Cambria Math"/>
        </w:rPr>
      </w:pPr>
      <w:r>
        <w:rPr>
          <w:rFonts w:ascii="Cambria Math"/>
          <w:spacing w:val="-2"/>
        </w:rPr>
        <w:t>(3.8416)(0.5)(0.5)(318)</w:t>
      </w:r>
    </w:p>
    <w:p>
      <w:pPr>
        <w:pStyle w:val="BodyText"/>
        <w:spacing w:line="392" w:lineRule="exact"/>
        <w:ind w:left="1559"/>
        <w:rPr>
          <w:rFonts w:ascii="Cambria Math" w:eastAsia="Cambria Math"/>
        </w:rPr>
      </w:pPr>
      <w:r>
        <w:rPr>
          <w:rFonts w:ascii="Cambria Math" w:eastAsia="Cambria Math"/>
        </w:rPr>
        <mc:AlternateContent>
          <mc:Choice Requires="wps">
            <w:drawing>
              <wp:anchor distT="0" distB="0" distL="0" distR="0" allowOverlap="1" layoutInCell="1" locked="0" behindDoc="1" simplePos="0" relativeHeight="486009344">
                <wp:simplePos x="0" y="0"/>
                <wp:positionH relativeFrom="page">
                  <wp:posOffset>2268601</wp:posOffset>
                </wp:positionH>
                <wp:positionV relativeFrom="paragraph">
                  <wp:posOffset>65460</wp:posOffset>
                </wp:positionV>
                <wp:extent cx="2374265" cy="10160"/>
                <wp:effectExtent l="0" t="0" r="0" b="0"/>
                <wp:wrapNone/>
                <wp:docPr id="136" name="Graphic 136"/>
                <wp:cNvGraphicFramePr>
                  <a:graphicFrameLocks/>
                </wp:cNvGraphicFramePr>
                <a:graphic>
                  <a:graphicData uri="http://schemas.microsoft.com/office/word/2010/wordprocessingShape">
                    <wps:wsp>
                      <wps:cNvPr id="136" name="Graphic 136"/>
                      <wps:cNvSpPr/>
                      <wps:spPr>
                        <a:xfrm>
                          <a:off x="0" y="0"/>
                          <a:ext cx="2374265" cy="10160"/>
                        </a:xfrm>
                        <a:custGeom>
                          <a:avLst/>
                          <a:gdLst/>
                          <a:ahLst/>
                          <a:cxnLst/>
                          <a:rect l="l" t="t" r="r" b="b"/>
                          <a:pathLst>
                            <a:path w="2374265" h="10160">
                              <a:moveTo>
                                <a:pt x="2374011" y="0"/>
                              </a:moveTo>
                              <a:lnTo>
                                <a:pt x="0" y="0"/>
                              </a:lnTo>
                              <a:lnTo>
                                <a:pt x="0" y="10159"/>
                              </a:lnTo>
                              <a:lnTo>
                                <a:pt x="2374011" y="10159"/>
                              </a:lnTo>
                              <a:lnTo>
                                <a:pt x="237401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78.630005pt;margin-top:5.154365pt;width:186.93pt;height:.79999pt;mso-position-horizontal-relative:page;mso-position-vertical-relative:paragraph;z-index:-17307136" id="docshape98" filled="true" fillcolor="#000000" stroked="false">
                <v:fill type="solid"/>
                <w10:wrap type="none"/>
              </v:rect>
            </w:pict>
          </mc:Fallback>
        </mc:AlternateContent>
      </w:r>
      <w:r>
        <w:rPr>
          <w:rFonts w:ascii="Cambria Math" w:eastAsia="Cambria Math"/>
          <w:position w:val="16"/>
        </w:rPr>
        <w:t>𝑛</w:t>
      </w:r>
      <w:r>
        <w:rPr>
          <w:rFonts w:ascii="Cambria Math" w:eastAsia="Cambria Math"/>
          <w:spacing w:val="16"/>
          <w:position w:val="16"/>
        </w:rPr>
        <w:t> </w:t>
      </w:r>
      <w:r>
        <w:rPr>
          <w:rFonts w:ascii="Cambria Math" w:eastAsia="Cambria Math"/>
          <w:position w:val="16"/>
        </w:rPr>
        <w:t>=</w:t>
      </w:r>
      <w:r>
        <w:rPr>
          <w:rFonts w:ascii="Cambria Math" w:eastAsia="Cambria Math"/>
          <w:spacing w:val="12"/>
          <w:position w:val="16"/>
        </w:rPr>
        <w:t> </w:t>
      </w:r>
      <w:r>
        <w:rPr>
          <w:rFonts w:ascii="Cambria Math" w:eastAsia="Cambria Math"/>
          <w:position w:val="1"/>
        </w:rPr>
        <w:t>(</w:t>
      </w:r>
      <w:r>
        <w:rPr>
          <w:rFonts w:ascii="Cambria Math" w:eastAsia="Cambria Math"/>
        </w:rPr>
        <w:t>318</w:t>
      </w:r>
      <w:r>
        <w:rPr>
          <w:rFonts w:ascii="Cambria Math" w:eastAsia="Cambria Math"/>
          <w:position w:val="1"/>
        </w:rPr>
        <w:t>)</w:t>
      </w:r>
      <w:r>
        <w:rPr>
          <w:rFonts w:ascii="Cambria Math" w:eastAsia="Cambria Math"/>
        </w:rPr>
        <w:t>(0.0025)</w:t>
      </w:r>
      <w:r>
        <w:rPr>
          <w:rFonts w:ascii="Cambria Math" w:eastAsia="Cambria Math"/>
          <w:spacing w:val="-1"/>
        </w:rPr>
        <w:t> </w:t>
      </w:r>
      <w:r>
        <w:rPr>
          <w:rFonts w:ascii="Cambria Math" w:eastAsia="Cambria Math"/>
        </w:rPr>
        <w:t>+</w:t>
      </w:r>
      <w:r>
        <w:rPr>
          <w:rFonts w:ascii="Cambria Math" w:eastAsia="Cambria Math"/>
          <w:spacing w:val="1"/>
        </w:rPr>
        <w:t> </w:t>
      </w:r>
      <w:r>
        <w:rPr>
          <w:rFonts w:ascii="Cambria Math" w:eastAsia="Cambria Math"/>
          <w:spacing w:val="-2"/>
        </w:rPr>
        <w:t>(3.8416)(0.5)(0.5)</w:t>
      </w:r>
    </w:p>
    <w:p>
      <w:pPr>
        <w:pStyle w:val="BodyText"/>
        <w:spacing w:line="232" w:lineRule="exact" w:before="269"/>
        <w:ind w:left="2147"/>
        <w:rPr>
          <w:rFonts w:ascii="Cambria Math"/>
        </w:rPr>
      </w:pPr>
      <w:r>
        <w:rPr>
          <w:rFonts w:ascii="Cambria Math"/>
          <w:spacing w:val="-2"/>
        </w:rPr>
        <w:t>(3.8416)(0.25)(318)</w:t>
      </w:r>
    </w:p>
    <w:p>
      <w:pPr>
        <w:pStyle w:val="BodyText"/>
        <w:spacing w:line="392" w:lineRule="exact"/>
        <w:ind w:left="1559"/>
        <w:rPr>
          <w:rFonts w:ascii="Cambria Math" w:eastAsia="Cambria Math"/>
        </w:rPr>
      </w:pPr>
      <w:r>
        <w:rPr>
          <w:rFonts w:ascii="Cambria Math" w:eastAsia="Cambria Math"/>
        </w:rPr>
        <mc:AlternateContent>
          <mc:Choice Requires="wps">
            <w:drawing>
              <wp:anchor distT="0" distB="0" distL="0" distR="0" allowOverlap="1" layoutInCell="1" locked="0" behindDoc="1" simplePos="0" relativeHeight="486009856">
                <wp:simplePos x="0" y="0"/>
                <wp:positionH relativeFrom="page">
                  <wp:posOffset>2268601</wp:posOffset>
                </wp:positionH>
                <wp:positionV relativeFrom="paragraph">
                  <wp:posOffset>65037</wp:posOffset>
                </wp:positionV>
                <wp:extent cx="1541145" cy="10795"/>
                <wp:effectExtent l="0" t="0" r="0" b="0"/>
                <wp:wrapNone/>
                <wp:docPr id="137" name="Graphic 137"/>
                <wp:cNvGraphicFramePr>
                  <a:graphicFrameLocks/>
                </wp:cNvGraphicFramePr>
                <a:graphic>
                  <a:graphicData uri="http://schemas.microsoft.com/office/word/2010/wordprocessingShape">
                    <wps:wsp>
                      <wps:cNvPr id="137" name="Graphic 137"/>
                      <wps:cNvSpPr/>
                      <wps:spPr>
                        <a:xfrm>
                          <a:off x="0" y="0"/>
                          <a:ext cx="1541145" cy="10795"/>
                        </a:xfrm>
                        <a:custGeom>
                          <a:avLst/>
                          <a:gdLst/>
                          <a:ahLst/>
                          <a:cxnLst/>
                          <a:rect l="l" t="t" r="r" b="b"/>
                          <a:pathLst>
                            <a:path w="1541145" h="10795">
                              <a:moveTo>
                                <a:pt x="1540890" y="0"/>
                              </a:moveTo>
                              <a:lnTo>
                                <a:pt x="0" y="0"/>
                              </a:lnTo>
                              <a:lnTo>
                                <a:pt x="0" y="10476"/>
                              </a:lnTo>
                              <a:lnTo>
                                <a:pt x="1540890" y="10476"/>
                              </a:lnTo>
                              <a:lnTo>
                                <a:pt x="154089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78.630005pt;margin-top:5.121037pt;width:121.33pt;height:.82495pt;mso-position-horizontal-relative:page;mso-position-vertical-relative:paragraph;z-index:-17306624" id="docshape99" filled="true" fillcolor="#000000" stroked="false">
                <v:fill type="solid"/>
                <w10:wrap type="none"/>
              </v:rect>
            </w:pict>
          </mc:Fallback>
        </mc:AlternateContent>
      </w:r>
      <w:r>
        <w:rPr>
          <w:rFonts w:ascii="Cambria Math" w:eastAsia="Cambria Math"/>
          <w:position w:val="16"/>
        </w:rPr>
        <w:t>𝑛</w:t>
      </w:r>
      <w:r>
        <w:rPr>
          <w:rFonts w:ascii="Cambria Math" w:eastAsia="Cambria Math"/>
          <w:spacing w:val="16"/>
          <w:position w:val="16"/>
        </w:rPr>
        <w:t> </w:t>
      </w:r>
      <w:r>
        <w:rPr>
          <w:rFonts w:ascii="Cambria Math" w:eastAsia="Cambria Math"/>
          <w:position w:val="16"/>
        </w:rPr>
        <w:t>=</w:t>
      </w:r>
      <w:r>
        <w:rPr>
          <w:rFonts w:ascii="Cambria Math" w:eastAsia="Cambria Math"/>
          <w:spacing w:val="13"/>
          <w:position w:val="16"/>
        </w:rPr>
        <w:t> </w:t>
      </w:r>
      <w:r>
        <w:rPr>
          <w:rFonts w:ascii="Cambria Math" w:eastAsia="Cambria Math"/>
        </w:rPr>
        <w:t>0.795 +</w:t>
      </w:r>
      <w:r>
        <w:rPr>
          <w:rFonts w:ascii="Cambria Math" w:eastAsia="Cambria Math"/>
          <w:spacing w:val="1"/>
        </w:rPr>
        <w:t> </w:t>
      </w:r>
      <w:r>
        <w:rPr>
          <w:rFonts w:ascii="Cambria Math" w:eastAsia="Cambria Math"/>
          <w:spacing w:val="-2"/>
        </w:rPr>
        <w:t>(3.8416)(0.25)</w:t>
      </w:r>
    </w:p>
    <w:p>
      <w:pPr>
        <w:pStyle w:val="BodyText"/>
        <w:spacing w:before="11"/>
        <w:rPr>
          <w:rFonts w:ascii="Cambria Math"/>
          <w:sz w:val="17"/>
        </w:rPr>
      </w:pPr>
    </w:p>
    <w:p>
      <w:pPr>
        <w:pStyle w:val="BodyText"/>
        <w:spacing w:after="0"/>
        <w:rPr>
          <w:rFonts w:ascii="Cambria Math"/>
          <w:sz w:val="17"/>
        </w:rPr>
        <w:sectPr>
          <w:pgSz w:w="11910" w:h="16840"/>
          <w:pgMar w:header="0" w:footer="693" w:top="1340" w:bottom="880" w:left="1559" w:right="425"/>
        </w:sectPr>
      </w:pPr>
    </w:p>
    <w:p>
      <w:pPr>
        <w:spacing w:before="240"/>
        <w:ind w:left="0" w:right="0" w:firstLine="0"/>
        <w:jc w:val="right"/>
        <w:rPr>
          <w:rFonts w:ascii="Cambria Math" w:eastAsia="Cambria Math"/>
          <w:sz w:val="24"/>
        </w:rPr>
      </w:pPr>
      <w:r>
        <w:rPr>
          <w:rFonts w:ascii="Cambria Math" w:eastAsia="Cambria Math"/>
          <w:sz w:val="24"/>
        </w:rPr>
        <w:t>𝑛</w:t>
      </w:r>
      <w:r>
        <w:rPr>
          <w:rFonts w:ascii="Cambria Math" w:eastAsia="Cambria Math"/>
          <w:spacing w:val="17"/>
          <w:sz w:val="24"/>
        </w:rPr>
        <w:t> </w:t>
      </w:r>
      <w:r>
        <w:rPr>
          <w:rFonts w:ascii="Cambria Math" w:eastAsia="Cambria Math"/>
          <w:spacing w:val="-10"/>
          <w:sz w:val="24"/>
        </w:rPr>
        <w:t>=</w:t>
      </w:r>
    </w:p>
    <w:p>
      <w:pPr>
        <w:pStyle w:val="BodyText"/>
        <w:spacing w:before="59"/>
        <w:ind w:left="2" w:right="6903"/>
        <w:jc w:val="center"/>
        <w:rPr>
          <w:rFonts w:ascii="Cambria Math"/>
        </w:rPr>
      </w:pPr>
      <w:r>
        <w:rPr/>
        <w:br w:type="column"/>
      </w:r>
      <w:r>
        <w:rPr>
          <w:rFonts w:ascii="Cambria Math"/>
          <w:spacing w:val="-2"/>
        </w:rPr>
        <w:t>305.4072</w:t>
      </w:r>
    </w:p>
    <w:p>
      <w:pPr>
        <w:pStyle w:val="BodyText"/>
        <w:spacing w:before="5"/>
        <w:rPr>
          <w:rFonts w:ascii="Cambria Math"/>
          <w:sz w:val="4"/>
        </w:rPr>
      </w:pPr>
    </w:p>
    <w:p>
      <w:pPr>
        <w:pStyle w:val="BodyText"/>
        <w:spacing w:line="20" w:lineRule="exact"/>
        <w:ind w:left="26"/>
        <w:rPr>
          <w:rFonts w:ascii="Cambria Math"/>
          <w:sz w:val="2"/>
        </w:rPr>
      </w:pPr>
      <w:r>
        <w:rPr>
          <w:rFonts w:ascii="Cambria Math"/>
          <w:sz w:val="2"/>
        </w:rPr>
        <mc:AlternateContent>
          <mc:Choice Requires="wps">
            <w:drawing>
              <wp:inline distT="0" distB="0" distL="0" distR="0">
                <wp:extent cx="622300" cy="10160"/>
                <wp:effectExtent l="0" t="0" r="0" b="0"/>
                <wp:docPr id="138" name="Group 138"/>
                <wp:cNvGraphicFramePr>
                  <a:graphicFrameLocks/>
                </wp:cNvGraphicFramePr>
                <a:graphic>
                  <a:graphicData uri="http://schemas.microsoft.com/office/word/2010/wordprocessingGroup">
                    <wpg:wgp>
                      <wpg:cNvPr id="138" name="Group 138"/>
                      <wpg:cNvGrpSpPr/>
                      <wpg:grpSpPr>
                        <a:xfrm>
                          <a:off x="0" y="0"/>
                          <a:ext cx="622300" cy="10160"/>
                          <a:chExt cx="622300" cy="10160"/>
                        </a:xfrm>
                      </wpg:grpSpPr>
                      <wps:wsp>
                        <wps:cNvPr id="139" name="Graphic 139"/>
                        <wps:cNvSpPr/>
                        <wps:spPr>
                          <a:xfrm>
                            <a:off x="0" y="0"/>
                            <a:ext cx="622300" cy="10160"/>
                          </a:xfrm>
                          <a:custGeom>
                            <a:avLst/>
                            <a:gdLst/>
                            <a:ahLst/>
                            <a:cxnLst/>
                            <a:rect l="l" t="t" r="r" b="b"/>
                            <a:pathLst>
                              <a:path w="622300" h="10160">
                                <a:moveTo>
                                  <a:pt x="622300" y="0"/>
                                </a:moveTo>
                                <a:lnTo>
                                  <a:pt x="0" y="0"/>
                                </a:lnTo>
                                <a:lnTo>
                                  <a:pt x="0" y="10159"/>
                                </a:lnTo>
                                <a:lnTo>
                                  <a:pt x="622300" y="10159"/>
                                </a:lnTo>
                                <a:lnTo>
                                  <a:pt x="62230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9pt;height:.8pt;mso-position-horizontal-relative:char;mso-position-vertical-relative:line" id="docshapegroup100" coordorigin="0,0" coordsize="980,16">
                <v:rect style="position:absolute;left:0;top:0;width:980;height:16" id="docshape101" filled="true" fillcolor="#000000" stroked="false">
                  <v:fill type="solid"/>
                </v:rect>
              </v:group>
            </w:pict>
          </mc:Fallback>
        </mc:AlternateContent>
      </w:r>
      <w:r>
        <w:rPr>
          <w:rFonts w:ascii="Cambria Math"/>
          <w:sz w:val="2"/>
        </w:rPr>
      </w:r>
    </w:p>
    <w:p>
      <w:pPr>
        <w:pStyle w:val="BodyText"/>
        <w:ind w:right="6903"/>
        <w:jc w:val="center"/>
        <w:rPr>
          <w:rFonts w:ascii="Cambria Math"/>
        </w:rPr>
      </w:pPr>
      <w:r>
        <w:rPr>
          <w:rFonts w:ascii="Cambria Math"/>
          <w:spacing w:val="-2"/>
        </w:rPr>
        <w:t>1.7554</w:t>
      </w:r>
    </w:p>
    <w:p>
      <w:pPr>
        <w:pStyle w:val="BodyText"/>
        <w:spacing w:after="0"/>
        <w:jc w:val="center"/>
        <w:rPr>
          <w:rFonts w:ascii="Cambria Math"/>
        </w:rPr>
        <w:sectPr>
          <w:type w:val="continuous"/>
          <w:pgSz w:w="11910" w:h="16840"/>
          <w:pgMar w:header="0" w:footer="693" w:top="0" w:bottom="0" w:left="1559" w:right="425"/>
          <w:cols w:num="2" w:equalWidth="0">
            <w:col w:w="1947" w:space="40"/>
            <w:col w:w="7939"/>
          </w:cols>
        </w:sectPr>
      </w:pPr>
    </w:p>
    <w:p>
      <w:pPr>
        <w:spacing w:before="227"/>
        <w:ind w:left="1559" w:right="0" w:firstLine="0"/>
        <w:jc w:val="left"/>
        <w:rPr>
          <w:rFonts w:ascii="Cambria Math" w:eastAsia="Cambria Math"/>
          <w:sz w:val="24"/>
        </w:rPr>
      </w:pPr>
      <w:r>
        <w:rPr>
          <w:rFonts w:ascii="Cambria Math" w:eastAsia="Cambria Math"/>
          <w:sz w:val="24"/>
        </w:rPr>
        <w:t>𝒏</w:t>
      </w:r>
      <w:r>
        <w:rPr>
          <w:rFonts w:ascii="Cambria Math" w:eastAsia="Cambria Math"/>
          <w:spacing w:val="13"/>
          <w:sz w:val="24"/>
        </w:rPr>
        <w:t> </w:t>
      </w:r>
      <w:r>
        <w:rPr>
          <w:rFonts w:ascii="Cambria Math" w:eastAsia="Cambria Math"/>
          <w:sz w:val="24"/>
        </w:rPr>
        <w:t>=</w:t>
      </w:r>
      <w:r>
        <w:rPr>
          <w:rFonts w:ascii="Cambria Math" w:eastAsia="Cambria Math"/>
          <w:spacing w:val="14"/>
          <w:sz w:val="24"/>
        </w:rPr>
        <w:t> </w:t>
      </w:r>
      <w:r>
        <w:rPr>
          <w:rFonts w:ascii="Cambria Math" w:eastAsia="Cambria Math"/>
          <w:sz w:val="24"/>
        </w:rPr>
        <w:t>𝟏𝟕𝟑.</w:t>
      </w:r>
      <w:r>
        <w:rPr>
          <w:rFonts w:ascii="Cambria Math" w:eastAsia="Cambria Math"/>
          <w:spacing w:val="-15"/>
          <w:sz w:val="24"/>
        </w:rPr>
        <w:t> </w:t>
      </w:r>
      <w:r>
        <w:rPr>
          <w:rFonts w:ascii="Cambria Math" w:eastAsia="Cambria Math"/>
          <w:spacing w:val="-4"/>
          <w:sz w:val="24"/>
        </w:rPr>
        <w:t>𝟗𝟖𝟏𝟓</w:t>
      </w:r>
    </w:p>
    <w:p>
      <w:pPr>
        <w:pStyle w:val="BodyText"/>
        <w:spacing w:before="12"/>
        <w:rPr>
          <w:rFonts w:ascii="Cambria Math"/>
        </w:rPr>
      </w:pPr>
    </w:p>
    <w:p>
      <w:pPr>
        <w:pStyle w:val="BodyText"/>
        <w:ind w:left="851"/>
        <w:rPr>
          <w:rFonts w:ascii="Arial MT"/>
        </w:rPr>
      </w:pPr>
      <w:r>
        <w:rPr>
          <w:rFonts w:ascii="Arial MT"/>
        </w:rPr>
        <w:t>Se</w:t>
      </w:r>
      <w:r>
        <w:rPr>
          <w:rFonts w:ascii="Arial MT"/>
          <w:spacing w:val="-5"/>
        </w:rPr>
        <w:t> </w:t>
      </w:r>
      <w:r>
        <w:rPr>
          <w:rFonts w:ascii="Arial MT"/>
        </w:rPr>
        <w:t>realizaron</w:t>
      </w:r>
      <w:r>
        <w:rPr>
          <w:rFonts w:ascii="Arial MT"/>
          <w:spacing w:val="-2"/>
        </w:rPr>
        <w:t> </w:t>
      </w:r>
      <w:r>
        <w:rPr>
          <w:rFonts w:ascii="Arial MT"/>
        </w:rPr>
        <w:t>encuestas</w:t>
      </w:r>
      <w:r>
        <w:rPr>
          <w:rFonts w:ascii="Arial MT"/>
          <w:spacing w:val="-3"/>
        </w:rPr>
        <w:t> </w:t>
      </w:r>
      <w:r>
        <w:rPr>
          <w:rFonts w:ascii="Arial MT"/>
        </w:rPr>
        <w:t>a</w:t>
      </w:r>
      <w:r>
        <w:rPr>
          <w:rFonts w:ascii="Arial MT"/>
          <w:spacing w:val="-2"/>
        </w:rPr>
        <w:t> </w:t>
      </w:r>
      <w:r>
        <w:rPr>
          <w:rFonts w:ascii="Arial MT"/>
        </w:rPr>
        <w:t>un</w:t>
      </w:r>
      <w:r>
        <w:rPr>
          <w:rFonts w:ascii="Arial MT"/>
          <w:spacing w:val="-3"/>
        </w:rPr>
        <w:t> </w:t>
      </w:r>
      <w:r>
        <w:rPr>
          <w:rFonts w:ascii="Arial MT"/>
        </w:rPr>
        <w:t>total</w:t>
      </w:r>
      <w:r>
        <w:rPr>
          <w:rFonts w:ascii="Arial MT"/>
          <w:spacing w:val="-2"/>
        </w:rPr>
        <w:t> </w:t>
      </w:r>
      <w:r>
        <w:rPr>
          <w:rFonts w:ascii="Arial MT"/>
        </w:rPr>
        <w:t>de</w:t>
      </w:r>
      <w:r>
        <w:rPr>
          <w:rFonts w:ascii="Arial MT"/>
          <w:spacing w:val="-3"/>
        </w:rPr>
        <w:t> </w:t>
      </w:r>
      <w:r>
        <w:rPr>
          <w:rFonts w:ascii="Arial MT"/>
        </w:rPr>
        <w:t>174</w:t>
      </w:r>
      <w:r>
        <w:rPr>
          <w:rFonts w:ascii="Arial MT"/>
          <w:spacing w:val="-2"/>
        </w:rPr>
        <w:t> personas</w:t>
      </w:r>
    </w:p>
    <w:p>
      <w:pPr>
        <w:pStyle w:val="BodyText"/>
        <w:spacing w:after="0"/>
        <w:rPr>
          <w:rFonts w:ascii="Arial MT"/>
        </w:rPr>
        <w:sectPr>
          <w:type w:val="continuous"/>
          <w:pgSz w:w="11910" w:h="16840"/>
          <w:pgMar w:header="0" w:footer="693" w:top="0" w:bottom="0" w:left="1559" w:right="425"/>
        </w:sectPr>
      </w:pPr>
    </w:p>
    <w:p>
      <w:pPr>
        <w:pStyle w:val="Heading3"/>
        <w:numPr>
          <w:ilvl w:val="1"/>
          <w:numId w:val="16"/>
        </w:numPr>
        <w:tabs>
          <w:tab w:pos="568" w:val="left" w:leader="none"/>
        </w:tabs>
        <w:spacing w:line="240" w:lineRule="auto" w:before="66" w:after="0"/>
        <w:ind w:left="568" w:right="0" w:hanging="425"/>
        <w:jc w:val="left"/>
      </w:pPr>
      <w:bookmarkStart w:name="_bookmark50" w:id="51"/>
      <w:bookmarkEnd w:id="51"/>
      <w:r>
        <w:rPr>
          <w:b w:val="0"/>
        </w:rPr>
      </w:r>
      <w:r>
        <w:rPr/>
        <w:t>Técnicas</w:t>
      </w:r>
      <w:r>
        <w:rPr>
          <w:spacing w:val="-1"/>
        </w:rPr>
        <w:t> </w:t>
      </w:r>
      <w:r>
        <w:rPr/>
        <w:t>e</w:t>
      </w:r>
      <w:r>
        <w:rPr>
          <w:spacing w:val="-1"/>
        </w:rPr>
        <w:t> </w:t>
      </w:r>
      <w:r>
        <w:rPr>
          <w:spacing w:val="-2"/>
        </w:rPr>
        <w:t>instrumento</w:t>
      </w:r>
    </w:p>
    <w:p>
      <w:pPr>
        <w:pStyle w:val="BodyText"/>
        <w:rPr>
          <w:b/>
        </w:rPr>
      </w:pPr>
    </w:p>
    <w:p>
      <w:pPr>
        <w:pStyle w:val="Heading4"/>
        <w:numPr>
          <w:ilvl w:val="2"/>
          <w:numId w:val="16"/>
        </w:numPr>
        <w:tabs>
          <w:tab w:pos="1195" w:val="left" w:leader="none"/>
        </w:tabs>
        <w:spacing w:line="240" w:lineRule="auto" w:before="0" w:after="0"/>
        <w:ind w:left="1195" w:right="0" w:hanging="626"/>
        <w:jc w:val="left"/>
      </w:pPr>
      <w:bookmarkStart w:name="_bookmark51" w:id="52"/>
      <w:bookmarkEnd w:id="52"/>
      <w:r>
        <w:rPr>
          <w:spacing w:val="-2"/>
        </w:rPr>
        <w:t>T</w:t>
      </w:r>
      <w:r>
        <w:rPr>
          <w:spacing w:val="-2"/>
        </w:rPr>
        <w:t>écnica</w:t>
      </w:r>
    </w:p>
    <w:p>
      <w:pPr>
        <w:pStyle w:val="BodyText"/>
        <w:rPr>
          <w:b/>
          <w:i/>
        </w:rPr>
      </w:pPr>
    </w:p>
    <w:p>
      <w:pPr>
        <w:pStyle w:val="BodyText"/>
        <w:spacing w:line="480" w:lineRule="auto" w:before="1"/>
        <w:ind w:left="1277" w:right="991" w:firstLine="638"/>
        <w:jc w:val="both"/>
      </w:pPr>
      <w:r>
        <w:rPr/>
        <w:t>Encuesta.</w:t>
      </w:r>
      <w:r>
        <w:rPr>
          <w:spacing w:val="-5"/>
        </w:rPr>
        <w:t> </w:t>
      </w:r>
      <w:r>
        <w:rPr/>
        <w:t>-</w:t>
      </w:r>
      <w:r>
        <w:rPr>
          <w:spacing w:val="-4"/>
        </w:rPr>
        <w:t> </w:t>
      </w:r>
      <w:r>
        <w:rPr/>
        <w:t>Se</w:t>
      </w:r>
      <w:r>
        <w:rPr>
          <w:spacing w:val="-4"/>
        </w:rPr>
        <w:t> </w:t>
      </w:r>
      <w:r>
        <w:rPr/>
        <w:t>describe</w:t>
      </w:r>
      <w:r>
        <w:rPr>
          <w:spacing w:val="-4"/>
        </w:rPr>
        <w:t> </w:t>
      </w:r>
      <w:r>
        <w:rPr/>
        <w:t>como</w:t>
      </w:r>
      <w:r>
        <w:rPr>
          <w:spacing w:val="-4"/>
        </w:rPr>
        <w:t> </w:t>
      </w:r>
      <w:r>
        <w:rPr/>
        <w:t>una</w:t>
      </w:r>
      <w:r>
        <w:rPr>
          <w:spacing w:val="-4"/>
        </w:rPr>
        <w:t> </w:t>
      </w:r>
      <w:r>
        <w:rPr/>
        <w:t>técnica</w:t>
      </w:r>
      <w:r>
        <w:rPr>
          <w:spacing w:val="-4"/>
        </w:rPr>
        <w:t> </w:t>
      </w:r>
      <w:r>
        <w:rPr/>
        <w:t>estructurada</w:t>
      </w:r>
      <w:r>
        <w:rPr>
          <w:spacing w:val="-5"/>
        </w:rPr>
        <w:t> </w:t>
      </w:r>
      <w:r>
        <w:rPr/>
        <w:t>para</w:t>
      </w:r>
      <w:r>
        <w:rPr>
          <w:spacing w:val="-4"/>
        </w:rPr>
        <w:t> </w:t>
      </w:r>
      <w:r>
        <w:rPr/>
        <w:t>recoger</w:t>
      </w:r>
      <w:r>
        <w:rPr>
          <w:spacing w:val="-4"/>
        </w:rPr>
        <w:t> </w:t>
      </w:r>
      <w:r>
        <w:rPr/>
        <w:t>datos de</w:t>
      </w:r>
      <w:r>
        <w:rPr>
          <w:spacing w:val="-11"/>
        </w:rPr>
        <w:t> </w:t>
      </w:r>
      <w:r>
        <w:rPr/>
        <w:t>personas</w:t>
      </w:r>
      <w:r>
        <w:rPr>
          <w:spacing w:val="-10"/>
        </w:rPr>
        <w:t> </w:t>
      </w:r>
      <w:r>
        <w:rPr/>
        <w:t>en</w:t>
      </w:r>
      <w:r>
        <w:rPr>
          <w:spacing w:val="-11"/>
        </w:rPr>
        <w:t> </w:t>
      </w:r>
      <w:r>
        <w:rPr/>
        <w:t>relación</w:t>
      </w:r>
      <w:r>
        <w:rPr>
          <w:spacing w:val="-10"/>
        </w:rPr>
        <w:t> </w:t>
      </w:r>
      <w:r>
        <w:rPr/>
        <w:t>con</w:t>
      </w:r>
      <w:r>
        <w:rPr>
          <w:spacing w:val="-11"/>
        </w:rPr>
        <w:t> </w:t>
      </w:r>
      <w:r>
        <w:rPr/>
        <w:t>sus</w:t>
      </w:r>
      <w:r>
        <w:rPr>
          <w:spacing w:val="-10"/>
        </w:rPr>
        <w:t> </w:t>
      </w:r>
      <w:r>
        <w:rPr/>
        <w:t>percepciones,</w:t>
      </w:r>
      <w:r>
        <w:rPr>
          <w:spacing w:val="-10"/>
        </w:rPr>
        <w:t> </w:t>
      </w:r>
      <w:r>
        <w:rPr/>
        <w:t>posturas</w:t>
      </w:r>
      <w:r>
        <w:rPr>
          <w:spacing w:val="-10"/>
        </w:rPr>
        <w:t> </w:t>
      </w:r>
      <w:r>
        <w:rPr/>
        <w:t>o</w:t>
      </w:r>
      <w:r>
        <w:rPr>
          <w:spacing w:val="-10"/>
        </w:rPr>
        <w:t> </w:t>
      </w:r>
      <w:r>
        <w:rPr/>
        <w:t>conductas.</w:t>
      </w:r>
      <w:r>
        <w:rPr>
          <w:spacing w:val="-10"/>
        </w:rPr>
        <w:t> </w:t>
      </w:r>
      <w:r>
        <w:rPr/>
        <w:t>Esta</w:t>
      </w:r>
      <w:r>
        <w:rPr>
          <w:spacing w:val="-11"/>
        </w:rPr>
        <w:t> </w:t>
      </w:r>
      <w:r>
        <w:rPr/>
        <w:t>técnica implica formular preguntas precisas a un grupo representativo de la población meta, para el fin de obtener información medible y examinar regularidades o dinámicas en las contestaciones obtenidas (Arias, 2006).</w:t>
      </w:r>
    </w:p>
    <w:p>
      <w:pPr>
        <w:pStyle w:val="Heading4"/>
        <w:numPr>
          <w:ilvl w:val="2"/>
          <w:numId w:val="16"/>
        </w:numPr>
        <w:tabs>
          <w:tab w:pos="1431" w:val="left" w:leader="none"/>
        </w:tabs>
        <w:spacing w:line="240" w:lineRule="auto" w:before="0" w:after="0"/>
        <w:ind w:left="1431" w:right="0" w:hanging="720"/>
        <w:jc w:val="both"/>
      </w:pPr>
      <w:bookmarkStart w:name="_bookmark52" w:id="53"/>
      <w:bookmarkEnd w:id="53"/>
      <w:r>
        <w:rPr>
          <w:b w:val="0"/>
          <w:i w:val="0"/>
        </w:rPr>
      </w:r>
      <w:r>
        <w:rPr>
          <w:spacing w:val="-2"/>
        </w:rPr>
        <w:t>Instrumento</w:t>
      </w:r>
    </w:p>
    <w:p>
      <w:pPr>
        <w:pStyle w:val="BodyText"/>
        <w:rPr>
          <w:b/>
          <w:i/>
        </w:rPr>
      </w:pPr>
    </w:p>
    <w:p>
      <w:pPr>
        <w:pStyle w:val="BodyText"/>
        <w:spacing w:line="480" w:lineRule="auto"/>
        <w:ind w:left="1419" w:right="991" w:firstLine="640"/>
        <w:jc w:val="both"/>
      </w:pPr>
      <w:r>
        <w:rPr/>
        <w:t>Cuestionario. – Arias (2006), consiste en un grupo de preguntas estructuradas de una forma coherente y comprensible, elaboradas en un lenguaje simple y fácil de acceder, lo que logra la recolección directa de información desde los orígenes primarios.</w:t>
      </w:r>
    </w:p>
    <w:p>
      <w:pPr>
        <w:pStyle w:val="Heading3"/>
        <w:numPr>
          <w:ilvl w:val="1"/>
          <w:numId w:val="16"/>
        </w:numPr>
        <w:tabs>
          <w:tab w:pos="850" w:val="left" w:leader="none"/>
        </w:tabs>
        <w:spacing w:line="240" w:lineRule="auto" w:before="1" w:after="0"/>
        <w:ind w:left="850" w:right="0" w:hanging="423"/>
        <w:jc w:val="both"/>
      </w:pPr>
      <w:bookmarkStart w:name="_bookmark53" w:id="54"/>
      <w:bookmarkEnd w:id="54"/>
      <w:r>
        <w:rPr>
          <w:b w:val="0"/>
        </w:rPr>
      </w:r>
      <w:r>
        <w:rPr/>
        <w:t>Confiabilidad</w:t>
      </w:r>
      <w:r>
        <w:rPr>
          <w:spacing w:val="-1"/>
        </w:rPr>
        <w:t> </w:t>
      </w:r>
      <w:r>
        <w:rPr/>
        <w:t>y</w:t>
      </w:r>
      <w:r>
        <w:rPr>
          <w:spacing w:val="-1"/>
        </w:rPr>
        <w:t> </w:t>
      </w:r>
      <w:r>
        <w:rPr/>
        <w:t>validez</w:t>
      </w:r>
      <w:r>
        <w:rPr>
          <w:spacing w:val="-3"/>
        </w:rPr>
        <w:t> </w:t>
      </w:r>
      <w:r>
        <w:rPr/>
        <w:t>del</w:t>
      </w:r>
      <w:r>
        <w:rPr>
          <w:spacing w:val="-1"/>
        </w:rPr>
        <w:t> </w:t>
      </w:r>
      <w:r>
        <w:rPr>
          <w:spacing w:val="-2"/>
        </w:rPr>
        <w:t>instrumento</w:t>
      </w:r>
    </w:p>
    <w:p>
      <w:pPr>
        <w:pStyle w:val="Heading4"/>
        <w:numPr>
          <w:ilvl w:val="2"/>
          <w:numId w:val="16"/>
        </w:numPr>
        <w:tabs>
          <w:tab w:pos="1431" w:val="left" w:leader="none"/>
        </w:tabs>
        <w:spacing w:line="240" w:lineRule="auto" w:before="276" w:after="0"/>
        <w:ind w:left="1431" w:right="0" w:hanging="720"/>
        <w:jc w:val="both"/>
      </w:pPr>
      <w:bookmarkStart w:name="_bookmark54" w:id="55"/>
      <w:bookmarkEnd w:id="55"/>
      <w:r>
        <w:rPr>
          <w:b w:val="0"/>
          <w:i w:val="0"/>
        </w:rPr>
      </w:r>
      <w:r>
        <w:rPr>
          <w:spacing w:val="-2"/>
        </w:rPr>
        <w:t>Confiabilidad</w:t>
      </w:r>
    </w:p>
    <w:p>
      <w:pPr>
        <w:pStyle w:val="BodyText"/>
        <w:spacing w:line="480" w:lineRule="auto" w:before="276"/>
        <w:ind w:left="1419" w:right="994" w:firstLine="438"/>
        <w:jc w:val="both"/>
      </w:pPr>
      <w:r>
        <w:rPr/>
        <w:t>Hemos tomado en cuenta las sugerencias de especialistas en el tema, aquellos</w:t>
      </w:r>
      <w:r>
        <w:rPr>
          <w:spacing w:val="-2"/>
        </w:rPr>
        <w:t> </w:t>
      </w:r>
      <w:r>
        <w:rPr/>
        <w:t>que</w:t>
      </w:r>
      <w:r>
        <w:rPr>
          <w:spacing w:val="-3"/>
        </w:rPr>
        <w:t> </w:t>
      </w:r>
      <w:r>
        <w:rPr/>
        <w:t>ofrecieron</w:t>
      </w:r>
      <w:r>
        <w:rPr>
          <w:spacing w:val="-3"/>
        </w:rPr>
        <w:t> </w:t>
      </w:r>
      <w:r>
        <w:rPr/>
        <w:t>valiosas</w:t>
      </w:r>
      <w:r>
        <w:rPr>
          <w:spacing w:val="-2"/>
        </w:rPr>
        <w:t> </w:t>
      </w:r>
      <w:r>
        <w:rPr/>
        <w:t>perspectivas</w:t>
      </w:r>
      <w:r>
        <w:rPr>
          <w:spacing w:val="-2"/>
        </w:rPr>
        <w:t> </w:t>
      </w:r>
      <w:r>
        <w:rPr/>
        <w:t>en</w:t>
      </w:r>
      <w:r>
        <w:rPr>
          <w:spacing w:val="-3"/>
        </w:rPr>
        <w:t> </w:t>
      </w:r>
      <w:r>
        <w:rPr/>
        <w:t>conexión</w:t>
      </w:r>
      <w:r>
        <w:rPr>
          <w:spacing w:val="-3"/>
        </w:rPr>
        <w:t> </w:t>
      </w:r>
      <w:r>
        <w:rPr/>
        <w:t>con</w:t>
      </w:r>
      <w:r>
        <w:rPr>
          <w:spacing w:val="-3"/>
        </w:rPr>
        <w:t> </w:t>
      </w:r>
      <w:r>
        <w:rPr/>
        <w:t>la</w:t>
      </w:r>
      <w:r>
        <w:rPr>
          <w:spacing w:val="-4"/>
        </w:rPr>
        <w:t> </w:t>
      </w:r>
      <w:r>
        <w:rPr/>
        <w:t>organización y los componentes del cuestionario Se desarrollo por medio de:</w:t>
      </w:r>
    </w:p>
    <w:p>
      <w:pPr>
        <w:pStyle w:val="Heading3"/>
        <w:ind w:left="863"/>
        <w:jc w:val="both"/>
      </w:pPr>
      <w:bookmarkStart w:name="_bookmark55" w:id="56"/>
      <w:bookmarkEnd w:id="56"/>
      <w:r>
        <w:rPr>
          <w:b w:val="0"/>
        </w:rPr>
      </w:r>
      <w:r>
        <w:rPr/>
        <w:t>Tabla </w:t>
      </w:r>
      <w:r>
        <w:rPr>
          <w:spacing w:val="-10"/>
        </w:rPr>
        <w:t>2</w:t>
      </w:r>
    </w:p>
    <w:p>
      <w:pPr>
        <w:pStyle w:val="BodyText"/>
        <w:rPr>
          <w:b/>
        </w:rPr>
      </w:pPr>
    </w:p>
    <w:p>
      <w:pPr>
        <w:spacing w:before="0"/>
        <w:ind w:left="863" w:right="0" w:firstLine="0"/>
        <w:jc w:val="both"/>
        <w:rPr>
          <w:i/>
          <w:sz w:val="24"/>
        </w:rPr>
      </w:pPr>
      <w:bookmarkStart w:name="_bookmark56" w:id="57"/>
      <w:bookmarkEnd w:id="57"/>
      <w:r>
        <w:rPr/>
      </w:r>
      <w:r>
        <w:rPr>
          <w:i/>
          <w:sz w:val="24"/>
        </w:rPr>
        <w:t>Confiabilidad</w:t>
      </w:r>
      <w:r>
        <w:rPr>
          <w:i/>
          <w:spacing w:val="-2"/>
          <w:sz w:val="24"/>
        </w:rPr>
        <w:t> </w:t>
      </w:r>
      <w:r>
        <w:rPr>
          <w:i/>
          <w:sz w:val="24"/>
        </w:rPr>
        <w:t>del</w:t>
      </w:r>
      <w:r>
        <w:rPr>
          <w:i/>
          <w:spacing w:val="-2"/>
          <w:sz w:val="24"/>
        </w:rPr>
        <w:t> instrumento</w:t>
      </w:r>
    </w:p>
    <w:p>
      <w:pPr>
        <w:pStyle w:val="BodyText"/>
        <w:spacing w:before="46"/>
        <w:rPr>
          <w:i/>
          <w:sz w:val="20"/>
        </w:rPr>
      </w:pPr>
    </w:p>
    <w:tbl>
      <w:tblPr>
        <w:tblW w:w="0" w:type="auto"/>
        <w:jc w:val="left"/>
        <w:tblInd w:w="9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24"/>
        <w:gridCol w:w="1412"/>
      </w:tblGrid>
      <w:tr>
        <w:trPr>
          <w:trHeight w:val="880" w:hRule="atLeast"/>
        </w:trPr>
        <w:tc>
          <w:tcPr>
            <w:tcW w:w="1624" w:type="dxa"/>
            <w:tcBorders>
              <w:top w:val="single" w:sz="4" w:space="0" w:color="000000"/>
              <w:bottom w:val="single" w:sz="4" w:space="0" w:color="000000"/>
            </w:tcBorders>
          </w:tcPr>
          <w:p>
            <w:pPr>
              <w:pStyle w:val="TableParagraph"/>
              <w:spacing w:line="278" w:lineRule="auto" w:before="164"/>
              <w:ind w:left="295" w:right="391" w:firstLine="110"/>
              <w:rPr>
                <w:rFonts w:ascii="Times New Roman"/>
                <w:sz w:val="24"/>
              </w:rPr>
            </w:pPr>
            <w:r>
              <w:rPr>
                <w:rFonts w:ascii="Times New Roman"/>
                <w:sz w:val="24"/>
              </w:rPr>
              <w:t>Alfa de </w:t>
            </w:r>
            <w:r>
              <w:rPr>
                <w:rFonts w:ascii="Times New Roman"/>
                <w:spacing w:val="-2"/>
                <w:sz w:val="24"/>
              </w:rPr>
              <w:t>Cronbach</w:t>
            </w:r>
          </w:p>
        </w:tc>
        <w:tc>
          <w:tcPr>
            <w:tcW w:w="1412" w:type="dxa"/>
            <w:tcBorders>
              <w:top w:val="single" w:sz="4" w:space="0" w:color="000000"/>
              <w:bottom w:val="single" w:sz="4" w:space="0" w:color="000000"/>
            </w:tcBorders>
          </w:tcPr>
          <w:p>
            <w:pPr>
              <w:pStyle w:val="TableParagraph"/>
              <w:spacing w:line="278" w:lineRule="auto" w:before="164"/>
              <w:ind w:left="165" w:right="272" w:firstLine="255"/>
              <w:rPr>
                <w:rFonts w:ascii="Times New Roman"/>
                <w:sz w:val="24"/>
              </w:rPr>
            </w:pPr>
            <w:r>
              <w:rPr>
                <w:rFonts w:ascii="Times New Roman"/>
                <w:sz w:val="24"/>
              </w:rPr>
              <w:t>N de </w:t>
            </w:r>
            <w:r>
              <w:rPr>
                <w:rFonts w:ascii="Times New Roman"/>
                <w:spacing w:val="-2"/>
                <w:sz w:val="24"/>
              </w:rPr>
              <w:t>elementos</w:t>
            </w:r>
          </w:p>
        </w:tc>
      </w:tr>
      <w:tr>
        <w:trPr>
          <w:trHeight w:val="560" w:hRule="atLeast"/>
        </w:trPr>
        <w:tc>
          <w:tcPr>
            <w:tcW w:w="1624" w:type="dxa"/>
            <w:tcBorders>
              <w:top w:val="single" w:sz="4" w:space="0" w:color="000000"/>
              <w:bottom w:val="single" w:sz="4" w:space="0" w:color="000000"/>
            </w:tcBorders>
          </w:tcPr>
          <w:p>
            <w:pPr>
              <w:pStyle w:val="TableParagraph"/>
              <w:spacing w:before="164"/>
              <w:ind w:left="1039"/>
              <w:rPr>
                <w:rFonts w:ascii="Times New Roman"/>
                <w:sz w:val="24"/>
              </w:rPr>
            </w:pPr>
            <w:r>
              <w:rPr>
                <w:rFonts w:ascii="Times New Roman"/>
                <w:spacing w:val="-4"/>
                <w:sz w:val="24"/>
              </w:rPr>
              <w:t>,942</w:t>
            </w:r>
          </w:p>
        </w:tc>
        <w:tc>
          <w:tcPr>
            <w:tcW w:w="1412" w:type="dxa"/>
            <w:tcBorders>
              <w:top w:val="single" w:sz="4" w:space="0" w:color="000000"/>
              <w:bottom w:val="single" w:sz="4" w:space="0" w:color="000000"/>
            </w:tcBorders>
          </w:tcPr>
          <w:p>
            <w:pPr>
              <w:pStyle w:val="TableParagraph"/>
              <w:spacing w:before="164"/>
              <w:ind w:right="60"/>
              <w:jc w:val="right"/>
              <w:rPr>
                <w:rFonts w:ascii="Times New Roman"/>
                <w:sz w:val="24"/>
              </w:rPr>
            </w:pPr>
            <w:r>
              <w:rPr>
                <w:rFonts w:ascii="Times New Roman"/>
                <w:spacing w:val="-5"/>
                <w:sz w:val="24"/>
              </w:rPr>
              <w:t>174</w:t>
            </w:r>
          </w:p>
        </w:tc>
      </w:tr>
    </w:tbl>
    <w:p>
      <w:pPr>
        <w:pStyle w:val="BodyText"/>
        <w:spacing w:before="240"/>
        <w:ind w:left="863" w:right="7043"/>
      </w:pPr>
      <w:r>
        <w:rPr>
          <w:i/>
        </w:rPr>
        <w:t>Nota</w:t>
      </w:r>
      <w:r>
        <w:rPr/>
        <w:t>.</w:t>
      </w:r>
      <w:r>
        <w:rPr>
          <w:spacing w:val="-1"/>
        </w:rPr>
        <w:t> </w:t>
      </w:r>
      <w:r>
        <w:rPr/>
        <w:t>Diseño </w:t>
      </w:r>
      <w:r>
        <w:rPr>
          <w:spacing w:val="-2"/>
        </w:rPr>
        <w:t>propio.</w:t>
      </w:r>
    </w:p>
    <w:p>
      <w:pPr>
        <w:pStyle w:val="BodyText"/>
        <w:spacing w:before="276"/>
        <w:ind w:left="863" w:right="7043"/>
      </w:pPr>
      <w:r>
        <w:rPr>
          <w:spacing w:val="-2"/>
        </w:rPr>
        <w:t>Interpretación:</w:t>
      </w:r>
    </w:p>
    <w:p>
      <w:pPr>
        <w:pStyle w:val="BodyText"/>
      </w:pPr>
    </w:p>
    <w:p>
      <w:pPr>
        <w:pStyle w:val="BodyText"/>
        <w:ind w:left="863"/>
      </w:pPr>
      <w:r>
        <w:rPr/>
        <w:t>El</w:t>
      </w:r>
      <w:r>
        <w:rPr>
          <w:spacing w:val="-5"/>
        </w:rPr>
        <w:t> </w:t>
      </w:r>
      <w:r>
        <w:rPr/>
        <w:t>valor</w:t>
      </w:r>
      <w:r>
        <w:rPr>
          <w:spacing w:val="-1"/>
        </w:rPr>
        <w:t> </w:t>
      </w:r>
      <w:r>
        <w:rPr/>
        <w:t>de 0,942</w:t>
      </w:r>
      <w:r>
        <w:rPr>
          <w:spacing w:val="-1"/>
        </w:rPr>
        <w:t> </w:t>
      </w:r>
      <w:r>
        <w:rPr/>
        <w:t>de</w:t>
      </w:r>
      <w:r>
        <w:rPr>
          <w:spacing w:val="1"/>
        </w:rPr>
        <w:t> </w:t>
      </w:r>
      <w:r>
        <w:rPr/>
        <w:t>la</w:t>
      </w:r>
      <w:r>
        <w:rPr>
          <w:spacing w:val="-3"/>
        </w:rPr>
        <w:t> </w:t>
      </w:r>
      <w:r>
        <w:rPr/>
        <w:t>tabla</w:t>
      </w:r>
      <w:r>
        <w:rPr>
          <w:spacing w:val="-2"/>
        </w:rPr>
        <w:t> </w:t>
      </w:r>
      <w:r>
        <w:rPr/>
        <w:t>2</w:t>
      </w:r>
      <w:r>
        <w:rPr>
          <w:spacing w:val="-1"/>
        </w:rPr>
        <w:t> </w:t>
      </w:r>
      <w:r>
        <w:rPr/>
        <w:t>denota una confiabilidad buena del</w:t>
      </w:r>
      <w:r>
        <w:rPr>
          <w:spacing w:val="-2"/>
        </w:rPr>
        <w:t> instrumento.</w:t>
      </w:r>
    </w:p>
    <w:p>
      <w:pPr>
        <w:pStyle w:val="BodyText"/>
        <w:spacing w:after="0"/>
        <w:sectPr>
          <w:pgSz w:w="11910" w:h="16840"/>
          <w:pgMar w:header="0" w:footer="693" w:top="1340" w:bottom="880" w:left="1559" w:right="425"/>
        </w:sectPr>
      </w:pPr>
    </w:p>
    <w:p>
      <w:pPr>
        <w:pStyle w:val="Heading4"/>
        <w:numPr>
          <w:ilvl w:val="2"/>
          <w:numId w:val="16"/>
        </w:numPr>
        <w:tabs>
          <w:tab w:pos="1431" w:val="left" w:leader="none"/>
        </w:tabs>
        <w:spacing w:line="240" w:lineRule="auto" w:before="66" w:after="0"/>
        <w:ind w:left="1431" w:right="0" w:hanging="580"/>
        <w:jc w:val="left"/>
      </w:pPr>
      <w:bookmarkStart w:name="_bookmark57" w:id="58"/>
      <w:bookmarkEnd w:id="58"/>
      <w:r>
        <w:rPr>
          <w:b w:val="0"/>
          <w:i w:val="0"/>
        </w:rPr>
      </w:r>
      <w:r>
        <w:rPr>
          <w:spacing w:val="-2"/>
        </w:rPr>
        <w:t>Validez</w:t>
      </w:r>
    </w:p>
    <w:p>
      <w:pPr>
        <w:pStyle w:val="BodyText"/>
        <w:rPr>
          <w:b/>
          <w:i/>
        </w:rPr>
      </w:pPr>
    </w:p>
    <w:p>
      <w:pPr>
        <w:pStyle w:val="BodyText"/>
        <w:spacing w:line="480" w:lineRule="auto"/>
        <w:ind w:left="1277" w:right="993" w:firstLine="780"/>
        <w:jc w:val="both"/>
      </w:pPr>
      <w:r>
        <w:rPr/>
        <w:t>Se</w:t>
      </w:r>
      <w:r>
        <w:rPr>
          <w:spacing w:val="-8"/>
        </w:rPr>
        <w:t> </w:t>
      </w:r>
      <w:r>
        <w:rPr/>
        <w:t>empleó</w:t>
      </w:r>
      <w:r>
        <w:rPr>
          <w:spacing w:val="-8"/>
        </w:rPr>
        <w:t> </w:t>
      </w:r>
      <w:r>
        <w:rPr/>
        <w:t>el</w:t>
      </w:r>
      <w:r>
        <w:rPr>
          <w:spacing w:val="-8"/>
        </w:rPr>
        <w:t> </w:t>
      </w:r>
      <w:r>
        <w:rPr/>
        <w:t>método</w:t>
      </w:r>
      <w:r>
        <w:rPr>
          <w:spacing w:val="-8"/>
        </w:rPr>
        <w:t> </w:t>
      </w:r>
      <w:r>
        <w:rPr/>
        <w:t>de</w:t>
      </w:r>
      <w:r>
        <w:rPr>
          <w:spacing w:val="-8"/>
        </w:rPr>
        <w:t> </w:t>
      </w:r>
      <w:r>
        <w:rPr/>
        <w:t>revisión</w:t>
      </w:r>
      <w:r>
        <w:rPr>
          <w:spacing w:val="-8"/>
        </w:rPr>
        <w:t> </w:t>
      </w:r>
      <w:r>
        <w:rPr/>
        <w:t>fundamentado</w:t>
      </w:r>
      <w:r>
        <w:rPr>
          <w:spacing w:val="-8"/>
        </w:rPr>
        <w:t> </w:t>
      </w:r>
      <w:r>
        <w:rPr/>
        <w:t>en</w:t>
      </w:r>
      <w:r>
        <w:rPr>
          <w:spacing w:val="-8"/>
        </w:rPr>
        <w:t> </w:t>
      </w:r>
      <w:r>
        <w:rPr/>
        <w:t>el</w:t>
      </w:r>
      <w:r>
        <w:rPr>
          <w:spacing w:val="-8"/>
        </w:rPr>
        <w:t> </w:t>
      </w:r>
      <w:r>
        <w:rPr/>
        <w:t>juicio</w:t>
      </w:r>
      <w:r>
        <w:rPr>
          <w:spacing w:val="-8"/>
        </w:rPr>
        <w:t> </w:t>
      </w:r>
      <w:r>
        <w:rPr/>
        <w:t>de</w:t>
      </w:r>
      <w:r>
        <w:rPr>
          <w:spacing w:val="-6"/>
        </w:rPr>
        <w:t> </w:t>
      </w:r>
      <w:r>
        <w:rPr/>
        <w:t>expertos, quienes valoraron la claridad, consistencia y pertinencia de los instrumentos de recopilación de información, asegurando que las preguntas fueran adecuadas para medir de manera precisa la influencia entre las variables.</w:t>
      </w:r>
    </w:p>
    <w:p>
      <w:pPr>
        <w:pStyle w:val="ListParagraph"/>
        <w:numPr>
          <w:ilvl w:val="3"/>
          <w:numId w:val="16"/>
        </w:numPr>
        <w:tabs>
          <w:tab w:pos="1844" w:val="left" w:leader="none"/>
        </w:tabs>
        <w:spacing w:line="240" w:lineRule="auto" w:before="1" w:after="0"/>
        <w:ind w:left="1844" w:right="0" w:hanging="359"/>
        <w:jc w:val="both"/>
        <w:rPr>
          <w:sz w:val="24"/>
        </w:rPr>
      </w:pPr>
      <w:r>
        <w:rPr>
          <w:sz w:val="24"/>
        </w:rPr>
        <w:t>Dr.</w:t>
      </w:r>
      <w:r>
        <w:rPr>
          <w:spacing w:val="-1"/>
          <w:sz w:val="24"/>
        </w:rPr>
        <w:t> </w:t>
      </w:r>
      <w:r>
        <w:rPr>
          <w:sz w:val="24"/>
        </w:rPr>
        <w:t>Roberto</w:t>
      </w:r>
      <w:r>
        <w:rPr>
          <w:spacing w:val="-1"/>
          <w:sz w:val="24"/>
        </w:rPr>
        <w:t> </w:t>
      </w:r>
      <w:r>
        <w:rPr>
          <w:sz w:val="24"/>
        </w:rPr>
        <w:t>Payé </w:t>
      </w:r>
      <w:r>
        <w:rPr>
          <w:spacing w:val="-2"/>
          <w:sz w:val="24"/>
        </w:rPr>
        <w:t>Colquehuanca</w:t>
      </w:r>
    </w:p>
    <w:p>
      <w:pPr>
        <w:pStyle w:val="Heading3"/>
        <w:numPr>
          <w:ilvl w:val="1"/>
          <w:numId w:val="16"/>
        </w:numPr>
        <w:tabs>
          <w:tab w:pos="995" w:val="left" w:leader="none"/>
        </w:tabs>
        <w:spacing w:line="240" w:lineRule="auto" w:before="274" w:after="0"/>
        <w:ind w:left="995" w:right="0" w:hanging="540"/>
        <w:jc w:val="left"/>
      </w:pPr>
      <w:bookmarkStart w:name="_bookmark58" w:id="59"/>
      <w:bookmarkEnd w:id="59"/>
      <w:r>
        <w:rPr>
          <w:b w:val="0"/>
        </w:rPr>
      </w:r>
      <w:r>
        <w:rPr/>
        <w:t>Procedimiento</w:t>
      </w:r>
      <w:r>
        <w:rPr>
          <w:spacing w:val="-2"/>
        </w:rPr>
        <w:t> </w:t>
      </w:r>
      <w:r>
        <w:rPr/>
        <w:t>de</w:t>
      </w:r>
      <w:r>
        <w:rPr>
          <w:spacing w:val="-1"/>
        </w:rPr>
        <w:t> </w:t>
      </w:r>
      <w:r>
        <w:rPr/>
        <w:t>tratamiento</w:t>
      </w:r>
      <w:r>
        <w:rPr>
          <w:spacing w:val="-1"/>
        </w:rPr>
        <w:t> </w:t>
      </w:r>
      <w:r>
        <w:rPr/>
        <w:t>de</w:t>
      </w:r>
      <w:r>
        <w:rPr>
          <w:spacing w:val="-1"/>
        </w:rPr>
        <w:t> </w:t>
      </w:r>
      <w:r>
        <w:rPr>
          <w:spacing w:val="-2"/>
        </w:rPr>
        <w:t>datos</w:t>
      </w:r>
    </w:p>
    <w:p>
      <w:pPr>
        <w:pStyle w:val="BodyText"/>
        <w:spacing w:line="480" w:lineRule="auto" w:before="276"/>
        <w:ind w:left="995" w:right="991" w:firstLine="780"/>
        <w:jc w:val="both"/>
      </w:pPr>
      <w:r>
        <w:rPr/>
        <w:t>El</w:t>
      </w:r>
      <w:r>
        <w:rPr>
          <w:spacing w:val="-15"/>
        </w:rPr>
        <w:t> </w:t>
      </w:r>
      <w:r>
        <w:rPr/>
        <w:t>tratamiento</w:t>
      </w:r>
      <w:r>
        <w:rPr>
          <w:spacing w:val="-15"/>
        </w:rPr>
        <w:t> </w:t>
      </w:r>
      <w:r>
        <w:rPr/>
        <w:t>de</w:t>
      </w:r>
      <w:r>
        <w:rPr>
          <w:spacing w:val="-15"/>
        </w:rPr>
        <w:t> </w:t>
      </w:r>
      <w:r>
        <w:rPr/>
        <w:t>la</w:t>
      </w:r>
      <w:r>
        <w:rPr>
          <w:spacing w:val="-15"/>
        </w:rPr>
        <w:t> </w:t>
      </w:r>
      <w:r>
        <w:rPr/>
        <w:t>información</w:t>
      </w:r>
      <w:r>
        <w:rPr>
          <w:spacing w:val="-15"/>
        </w:rPr>
        <w:t> </w:t>
      </w:r>
      <w:r>
        <w:rPr/>
        <w:t>se</w:t>
      </w:r>
      <w:r>
        <w:rPr>
          <w:spacing w:val="-15"/>
        </w:rPr>
        <w:t> </w:t>
      </w:r>
      <w:r>
        <w:rPr/>
        <w:t>realiza</w:t>
      </w:r>
      <w:r>
        <w:rPr>
          <w:spacing w:val="-15"/>
        </w:rPr>
        <w:t> </w:t>
      </w:r>
      <w:r>
        <w:rPr/>
        <w:t>aplicando</w:t>
      </w:r>
      <w:r>
        <w:rPr>
          <w:spacing w:val="-15"/>
        </w:rPr>
        <w:t> </w:t>
      </w:r>
      <w:r>
        <w:rPr/>
        <w:t>diversas</w:t>
      </w:r>
      <w:r>
        <w:rPr>
          <w:spacing w:val="-15"/>
        </w:rPr>
        <w:t> </w:t>
      </w:r>
      <w:r>
        <w:rPr/>
        <w:t>metodologías para analizar la información recolectada durante el estudio. En esta ocasión, se emplea el software de análisis de estadística SPSS v25, que juega un rol clave al permitir</w:t>
      </w:r>
      <w:r>
        <w:rPr>
          <w:spacing w:val="-4"/>
        </w:rPr>
        <w:t> </w:t>
      </w:r>
      <w:r>
        <w:rPr/>
        <w:t>la</w:t>
      </w:r>
      <w:r>
        <w:rPr>
          <w:spacing w:val="-3"/>
        </w:rPr>
        <w:t> </w:t>
      </w:r>
      <w:r>
        <w:rPr/>
        <w:t>realización</w:t>
      </w:r>
      <w:r>
        <w:rPr>
          <w:spacing w:val="-4"/>
        </w:rPr>
        <w:t> </w:t>
      </w:r>
      <w:r>
        <w:rPr/>
        <w:t>de</w:t>
      </w:r>
      <w:r>
        <w:rPr>
          <w:spacing w:val="-4"/>
        </w:rPr>
        <w:t> </w:t>
      </w:r>
      <w:r>
        <w:rPr/>
        <w:t>análisis</w:t>
      </w:r>
      <w:r>
        <w:rPr>
          <w:spacing w:val="-4"/>
        </w:rPr>
        <w:t> </w:t>
      </w:r>
      <w:r>
        <w:rPr/>
        <w:t>detallados,</w:t>
      </w:r>
      <w:r>
        <w:rPr>
          <w:spacing w:val="-4"/>
        </w:rPr>
        <w:t> </w:t>
      </w:r>
      <w:r>
        <w:rPr/>
        <w:t>tales</w:t>
      </w:r>
      <w:r>
        <w:rPr>
          <w:spacing w:val="-4"/>
        </w:rPr>
        <w:t> </w:t>
      </w:r>
      <w:r>
        <w:rPr/>
        <w:t>como</w:t>
      </w:r>
      <w:r>
        <w:rPr>
          <w:spacing w:val="-4"/>
        </w:rPr>
        <w:t> </w:t>
      </w:r>
      <w:r>
        <w:rPr/>
        <w:t>evaluaciones</w:t>
      </w:r>
      <w:r>
        <w:rPr>
          <w:spacing w:val="-4"/>
        </w:rPr>
        <w:t> </w:t>
      </w:r>
      <w:r>
        <w:rPr/>
        <w:t>de</w:t>
      </w:r>
      <w:r>
        <w:rPr>
          <w:spacing w:val="-3"/>
        </w:rPr>
        <w:t> </w:t>
      </w:r>
      <w:r>
        <w:rPr/>
        <w:t>hipótesis, análisis de conexiones causales y análisis de regresión.</w:t>
      </w:r>
    </w:p>
    <w:p>
      <w:pPr>
        <w:pStyle w:val="Heading3"/>
        <w:numPr>
          <w:ilvl w:val="1"/>
          <w:numId w:val="16"/>
        </w:numPr>
        <w:tabs>
          <w:tab w:pos="850" w:val="left" w:leader="none"/>
        </w:tabs>
        <w:spacing w:line="240" w:lineRule="auto" w:before="1" w:after="0"/>
        <w:ind w:left="850" w:right="0" w:hanging="539"/>
        <w:jc w:val="both"/>
      </w:pPr>
      <w:bookmarkStart w:name="_bookmark59" w:id="60"/>
      <w:bookmarkEnd w:id="60"/>
      <w:r>
        <w:rPr>
          <w:b w:val="0"/>
        </w:rPr>
      </w:r>
      <w:r>
        <w:rPr/>
        <w:t>Contrastación</w:t>
      </w:r>
      <w:r>
        <w:rPr>
          <w:spacing w:val="-1"/>
        </w:rPr>
        <w:t> </w:t>
      </w:r>
      <w:r>
        <w:rPr/>
        <w:t>de </w:t>
      </w:r>
      <w:r>
        <w:rPr>
          <w:spacing w:val="-2"/>
        </w:rPr>
        <w:t>hipótesis</w:t>
      </w:r>
    </w:p>
    <w:p>
      <w:pPr>
        <w:pStyle w:val="BodyText"/>
        <w:spacing w:line="480" w:lineRule="auto" w:before="276"/>
        <w:ind w:left="851" w:right="987" w:firstLine="410"/>
        <w:jc w:val="both"/>
      </w:pPr>
      <w:r>
        <w:rPr/>
        <w:t>El</w:t>
      </w:r>
      <w:r>
        <w:rPr>
          <w:spacing w:val="-6"/>
        </w:rPr>
        <w:t> </w:t>
      </w:r>
      <w:r>
        <w:rPr/>
        <w:t>alfa</w:t>
      </w:r>
      <w:r>
        <w:rPr>
          <w:spacing w:val="-6"/>
        </w:rPr>
        <w:t> </w:t>
      </w:r>
      <w:r>
        <w:rPr/>
        <w:t>seleccionada</w:t>
      </w:r>
      <w:r>
        <w:rPr>
          <w:spacing w:val="-4"/>
        </w:rPr>
        <w:t> </w:t>
      </w:r>
      <w:r>
        <w:rPr/>
        <w:t>fue</w:t>
      </w:r>
      <w:r>
        <w:rPr>
          <w:spacing w:val="-6"/>
        </w:rPr>
        <w:t> </w:t>
      </w:r>
      <w:r>
        <w:rPr/>
        <w:t>del</w:t>
      </w:r>
      <w:r>
        <w:rPr>
          <w:spacing w:val="-7"/>
        </w:rPr>
        <w:t> </w:t>
      </w:r>
      <w:r>
        <w:rPr/>
        <w:t>0,05,</w:t>
      </w:r>
      <w:r>
        <w:rPr>
          <w:spacing w:val="-5"/>
        </w:rPr>
        <w:t> </w:t>
      </w:r>
      <w:r>
        <w:rPr/>
        <w:t>si</w:t>
      </w:r>
      <w:r>
        <w:rPr>
          <w:spacing w:val="-6"/>
        </w:rPr>
        <w:t> </w:t>
      </w:r>
      <w:r>
        <w:rPr/>
        <w:t>los</w:t>
      </w:r>
      <w:r>
        <w:rPr>
          <w:spacing w:val="-5"/>
        </w:rPr>
        <w:t> </w:t>
      </w:r>
      <w:r>
        <w:rPr/>
        <w:t>resultados</w:t>
      </w:r>
      <w:r>
        <w:rPr>
          <w:spacing w:val="-5"/>
        </w:rPr>
        <w:t> </w:t>
      </w:r>
      <w:r>
        <w:rPr/>
        <w:t>sugieren</w:t>
      </w:r>
      <w:r>
        <w:rPr>
          <w:spacing w:val="-5"/>
        </w:rPr>
        <w:t> </w:t>
      </w:r>
      <w:r>
        <w:rPr/>
        <w:t>un</w:t>
      </w:r>
      <w:r>
        <w:rPr>
          <w:spacing w:val="-5"/>
        </w:rPr>
        <w:t> </w:t>
      </w:r>
      <w:r>
        <w:rPr/>
        <w:t>p</w:t>
      </w:r>
      <w:r>
        <w:rPr>
          <w:spacing w:val="-5"/>
        </w:rPr>
        <w:t> </w:t>
      </w:r>
      <w:r>
        <w:rPr/>
        <w:t>valor</w:t>
      </w:r>
      <w:r>
        <w:rPr>
          <w:spacing w:val="-5"/>
        </w:rPr>
        <w:t> </w:t>
      </w:r>
      <w:r>
        <w:rPr/>
        <w:t>superior</w:t>
      </w:r>
      <w:r>
        <w:rPr>
          <w:spacing w:val="-6"/>
        </w:rPr>
        <w:t> </w:t>
      </w:r>
      <w:r>
        <w:rPr/>
        <w:t>o menor que alfa, se negara o aceptara las hipótesis.</w:t>
      </w:r>
    </w:p>
    <w:p>
      <w:pPr>
        <w:pStyle w:val="Heading3"/>
        <w:numPr>
          <w:ilvl w:val="0"/>
          <w:numId w:val="18"/>
        </w:numPr>
        <w:tabs>
          <w:tab w:pos="1560" w:val="left" w:leader="none"/>
        </w:tabs>
        <w:spacing w:line="240" w:lineRule="auto" w:before="0" w:after="0"/>
        <w:ind w:left="1560" w:right="0" w:hanging="359"/>
        <w:jc w:val="both"/>
      </w:pPr>
      <w:r>
        <w:rPr/>
        <w:t>Planteamiento</w:t>
      </w:r>
      <w:r>
        <w:rPr>
          <w:spacing w:val="-4"/>
        </w:rPr>
        <w:t> </w:t>
      </w:r>
      <w:r>
        <w:rPr/>
        <w:t>de</w:t>
      </w:r>
      <w:r>
        <w:rPr>
          <w:spacing w:val="-2"/>
        </w:rPr>
        <w:t> </w:t>
      </w:r>
      <w:r>
        <w:rPr/>
        <w:t>la</w:t>
      </w:r>
      <w:r>
        <w:rPr>
          <w:spacing w:val="-1"/>
        </w:rPr>
        <w:t> </w:t>
      </w:r>
      <w:r>
        <w:rPr>
          <w:spacing w:val="-5"/>
        </w:rPr>
        <w:t>HG</w:t>
      </w:r>
    </w:p>
    <w:p>
      <w:pPr>
        <w:pStyle w:val="BodyText"/>
        <w:spacing w:line="480" w:lineRule="auto" w:before="276"/>
        <w:ind w:left="1985" w:right="991" w:hanging="425"/>
        <w:jc w:val="both"/>
      </w:pPr>
      <w:r>
        <w:rPr/>
        <w:t>H0: El impuesto general de las ventas no influye significativamente en la percepción económica de los comerciantes en el centro de abastos las Mercedes de Juliaca, 2023.</w:t>
      </w:r>
    </w:p>
    <w:p>
      <w:pPr>
        <w:pStyle w:val="BodyText"/>
        <w:spacing w:line="480" w:lineRule="auto"/>
        <w:ind w:left="1985" w:right="988" w:hanging="425"/>
        <w:jc w:val="both"/>
      </w:pPr>
      <w:r>
        <w:rPr/>
        <w:t>H1: El impuesto general de las ventas influye significativamente en la percepción económica de los comerciantes en el centro de abastos las Mercedes de Juliaca, 2023.</w:t>
      </w:r>
    </w:p>
    <w:p>
      <w:pPr>
        <w:pStyle w:val="ListParagraph"/>
        <w:numPr>
          <w:ilvl w:val="0"/>
          <w:numId w:val="18"/>
        </w:numPr>
        <w:tabs>
          <w:tab w:pos="1560" w:val="left" w:leader="none"/>
        </w:tabs>
        <w:spacing w:line="240" w:lineRule="auto" w:before="1" w:after="0"/>
        <w:ind w:left="1560" w:right="0" w:hanging="359"/>
        <w:jc w:val="both"/>
        <w:rPr>
          <w:sz w:val="24"/>
        </w:rPr>
      </w:pPr>
      <w:r>
        <w:rPr>
          <w:spacing w:val="-2"/>
          <w:sz w:val="24"/>
        </w:rPr>
        <w:t>Estadística</w:t>
      </w:r>
    </w:p>
    <w:p>
      <w:pPr>
        <w:pStyle w:val="ListParagraph"/>
        <w:spacing w:after="0" w:line="240" w:lineRule="auto"/>
        <w:jc w:val="both"/>
        <w:rPr>
          <w:sz w:val="24"/>
        </w:rPr>
        <w:sectPr>
          <w:pgSz w:w="11910" w:h="16840"/>
          <w:pgMar w:header="0" w:footer="693" w:top="1340" w:bottom="880" w:left="1559" w:right="425"/>
        </w:sectPr>
      </w:pPr>
    </w:p>
    <w:p>
      <w:pPr>
        <w:pStyle w:val="Heading3"/>
        <w:spacing w:before="66"/>
        <w:ind w:left="863"/>
      </w:pPr>
      <w:bookmarkStart w:name="_bookmark60" w:id="61"/>
      <w:bookmarkEnd w:id="61"/>
      <w:r>
        <w:rPr>
          <w:b w:val="0"/>
        </w:rPr>
      </w:r>
      <w:r>
        <w:rPr/>
        <w:t>Tabla </w:t>
      </w:r>
      <w:r>
        <w:rPr>
          <w:spacing w:val="-10"/>
        </w:rPr>
        <w:t>3</w:t>
      </w:r>
    </w:p>
    <w:p>
      <w:pPr>
        <w:pStyle w:val="BodyText"/>
        <w:rPr>
          <w:b/>
        </w:rPr>
      </w:pPr>
    </w:p>
    <w:p>
      <w:pPr>
        <w:spacing w:before="0"/>
        <w:ind w:left="863" w:right="0" w:firstLine="0"/>
        <w:jc w:val="left"/>
        <w:rPr>
          <w:i/>
          <w:sz w:val="24"/>
        </w:rPr>
      </w:pPr>
      <w:bookmarkStart w:name="_bookmark61" w:id="62"/>
      <w:bookmarkEnd w:id="62"/>
      <w:r>
        <w:rPr/>
      </w:r>
      <w:r>
        <w:rPr>
          <w:i/>
          <w:sz w:val="24"/>
        </w:rPr>
        <w:t>Prueba</w:t>
      </w:r>
      <w:r>
        <w:rPr>
          <w:i/>
          <w:spacing w:val="-1"/>
          <w:sz w:val="24"/>
        </w:rPr>
        <w:t> </w:t>
      </w:r>
      <w:r>
        <w:rPr>
          <w:i/>
          <w:sz w:val="24"/>
        </w:rPr>
        <w:t>de</w:t>
      </w:r>
      <w:r>
        <w:rPr>
          <w:i/>
          <w:spacing w:val="-2"/>
          <w:sz w:val="24"/>
        </w:rPr>
        <w:t> </w:t>
      </w:r>
      <w:r>
        <w:rPr>
          <w:i/>
          <w:sz w:val="24"/>
        </w:rPr>
        <w:t>Chi-cuadrado</w:t>
      </w:r>
      <w:r>
        <w:rPr>
          <w:i/>
          <w:spacing w:val="-1"/>
          <w:sz w:val="24"/>
        </w:rPr>
        <w:t> </w:t>
      </w:r>
      <w:r>
        <w:rPr>
          <w:i/>
          <w:sz w:val="24"/>
        </w:rPr>
        <w:t>de</w:t>
      </w:r>
      <w:r>
        <w:rPr>
          <w:i/>
          <w:spacing w:val="-1"/>
          <w:sz w:val="24"/>
        </w:rPr>
        <w:t> </w:t>
      </w:r>
      <w:r>
        <w:rPr>
          <w:i/>
          <w:sz w:val="24"/>
        </w:rPr>
        <w:t>la </w:t>
      </w:r>
      <w:r>
        <w:rPr>
          <w:i/>
          <w:spacing w:val="-5"/>
          <w:sz w:val="24"/>
        </w:rPr>
        <w:t>HG</w:t>
      </w:r>
    </w:p>
    <w:p>
      <w:pPr>
        <w:pStyle w:val="BodyText"/>
        <w:spacing w:before="46" w:after="1"/>
        <w:rPr>
          <w:i/>
          <w:sz w:val="20"/>
        </w:rPr>
      </w:pPr>
    </w:p>
    <w:tbl>
      <w:tblPr>
        <w:tblW w:w="0" w:type="auto"/>
        <w:jc w:val="left"/>
        <w:tblInd w:w="1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54"/>
        <w:gridCol w:w="7441"/>
      </w:tblGrid>
      <w:tr>
        <w:trPr>
          <w:trHeight w:val="442" w:hRule="atLeast"/>
        </w:trPr>
        <w:tc>
          <w:tcPr>
            <w:tcW w:w="9095" w:type="dxa"/>
            <w:gridSpan w:val="2"/>
            <w:tcBorders>
              <w:top w:val="single" w:sz="4" w:space="0" w:color="000000"/>
              <w:bottom w:val="single" w:sz="8" w:space="0" w:color="152935"/>
            </w:tcBorders>
          </w:tcPr>
          <w:p>
            <w:pPr>
              <w:pStyle w:val="TableParagraph"/>
              <w:spacing w:line="256" w:lineRule="exact" w:before="166"/>
              <w:ind w:left="2652"/>
              <w:rPr>
                <w:rFonts w:ascii="Times New Roman"/>
                <w:sz w:val="24"/>
              </w:rPr>
            </w:pPr>
            <w:r>
              <w:rPr>
                <w:rFonts w:ascii="Times New Roman"/>
                <w:sz w:val="24"/>
              </w:rPr>
              <w:t>IMPUESTO</w:t>
            </w:r>
            <w:r>
              <w:rPr>
                <w:rFonts w:ascii="Times New Roman"/>
                <w:spacing w:val="-1"/>
                <w:sz w:val="24"/>
              </w:rPr>
              <w:t> </w:t>
            </w:r>
            <w:r>
              <w:rPr>
                <w:rFonts w:ascii="Times New Roman"/>
                <w:sz w:val="24"/>
              </w:rPr>
              <w:t>GENERAL</w:t>
            </w:r>
            <w:r>
              <w:rPr>
                <w:rFonts w:ascii="Times New Roman"/>
                <w:spacing w:val="-1"/>
                <w:sz w:val="24"/>
              </w:rPr>
              <w:t> </w:t>
            </w:r>
            <w:r>
              <w:rPr>
                <w:rFonts w:ascii="Times New Roman"/>
                <w:sz w:val="24"/>
              </w:rPr>
              <w:t>DE</w:t>
            </w:r>
            <w:r>
              <w:rPr>
                <w:rFonts w:ascii="Times New Roman"/>
                <w:spacing w:val="-1"/>
                <w:sz w:val="24"/>
              </w:rPr>
              <w:t> </w:t>
            </w:r>
            <w:r>
              <w:rPr>
                <w:rFonts w:ascii="Times New Roman"/>
                <w:sz w:val="24"/>
              </w:rPr>
              <w:t>LAS</w:t>
            </w:r>
            <w:r>
              <w:rPr>
                <w:rFonts w:ascii="Times New Roman"/>
                <w:spacing w:val="-1"/>
                <w:sz w:val="24"/>
              </w:rPr>
              <w:t> </w:t>
            </w:r>
            <w:r>
              <w:rPr>
                <w:rFonts w:ascii="Times New Roman"/>
                <w:sz w:val="24"/>
              </w:rPr>
              <w:t>VENTAS</w:t>
            </w:r>
            <w:r>
              <w:rPr>
                <w:rFonts w:ascii="Times New Roman"/>
                <w:spacing w:val="2"/>
                <w:sz w:val="24"/>
              </w:rPr>
              <w:t> </w:t>
            </w:r>
            <w:r>
              <w:rPr>
                <w:rFonts w:ascii="Times New Roman"/>
                <w:spacing w:val="-2"/>
                <w:sz w:val="24"/>
              </w:rPr>
              <w:t>(Agrupada)</w:t>
            </w:r>
          </w:p>
        </w:tc>
      </w:tr>
      <w:tr>
        <w:trPr>
          <w:trHeight w:val="408" w:hRule="atLeast"/>
        </w:trPr>
        <w:tc>
          <w:tcPr>
            <w:tcW w:w="1654" w:type="dxa"/>
            <w:tcBorders>
              <w:top w:val="single" w:sz="8" w:space="0" w:color="152935"/>
            </w:tcBorders>
          </w:tcPr>
          <w:p>
            <w:pPr>
              <w:pStyle w:val="TableParagraph"/>
              <w:spacing w:before="44"/>
              <w:ind w:left="60"/>
              <w:rPr>
                <w:rFonts w:ascii="Times New Roman"/>
                <w:sz w:val="24"/>
              </w:rPr>
            </w:pPr>
            <w:r>
              <w:rPr>
                <w:rFonts w:ascii="Times New Roman"/>
                <w:spacing w:val="-2"/>
                <w:sz w:val="24"/>
              </w:rPr>
              <w:t>Chi-cuadrado</w:t>
            </w:r>
          </w:p>
        </w:tc>
        <w:tc>
          <w:tcPr>
            <w:tcW w:w="7441" w:type="dxa"/>
            <w:tcBorders>
              <w:top w:val="single" w:sz="8" w:space="0" w:color="152935"/>
            </w:tcBorders>
            <w:shd w:val="clear" w:color="auto" w:fill="F8F8FA"/>
          </w:tcPr>
          <w:p>
            <w:pPr>
              <w:pStyle w:val="TableParagraph"/>
              <w:spacing w:before="44"/>
              <w:ind w:right="56"/>
              <w:jc w:val="right"/>
              <w:rPr>
                <w:rFonts w:ascii="Times New Roman"/>
                <w:sz w:val="24"/>
              </w:rPr>
            </w:pPr>
            <w:r>
              <w:rPr>
                <w:rFonts w:ascii="Times New Roman"/>
                <w:color w:val="000104"/>
                <w:spacing w:val="-2"/>
                <w:sz w:val="24"/>
              </w:rPr>
              <w:t>6,419</w:t>
            </w:r>
            <w:r>
              <w:rPr>
                <w:rFonts w:ascii="Times New Roman"/>
                <w:color w:val="000104"/>
                <w:spacing w:val="-2"/>
                <w:sz w:val="24"/>
                <w:vertAlign w:val="superscript"/>
              </w:rPr>
              <w:t>a</w:t>
            </w:r>
          </w:p>
        </w:tc>
      </w:tr>
      <w:tr>
        <w:trPr>
          <w:trHeight w:val="442" w:hRule="atLeast"/>
        </w:trPr>
        <w:tc>
          <w:tcPr>
            <w:tcW w:w="1654" w:type="dxa"/>
          </w:tcPr>
          <w:p>
            <w:pPr>
              <w:pStyle w:val="TableParagraph"/>
              <w:spacing w:before="78"/>
              <w:ind w:left="60"/>
              <w:rPr>
                <w:rFonts w:ascii="Times New Roman"/>
                <w:sz w:val="24"/>
              </w:rPr>
            </w:pPr>
            <w:r>
              <w:rPr>
                <w:rFonts w:ascii="Times New Roman"/>
                <w:spacing w:val="-5"/>
                <w:sz w:val="24"/>
              </w:rPr>
              <w:t>gl</w:t>
            </w:r>
          </w:p>
        </w:tc>
        <w:tc>
          <w:tcPr>
            <w:tcW w:w="7441" w:type="dxa"/>
            <w:shd w:val="clear" w:color="auto" w:fill="F8F8FA"/>
          </w:tcPr>
          <w:p>
            <w:pPr>
              <w:pStyle w:val="TableParagraph"/>
              <w:spacing w:before="78"/>
              <w:ind w:right="56"/>
              <w:jc w:val="right"/>
              <w:rPr>
                <w:rFonts w:ascii="Times New Roman"/>
                <w:sz w:val="24"/>
              </w:rPr>
            </w:pPr>
            <w:r>
              <w:rPr>
                <w:rFonts w:ascii="Times New Roman"/>
                <w:color w:val="000104"/>
                <w:spacing w:val="-5"/>
                <w:sz w:val="24"/>
              </w:rPr>
              <w:t>174</w:t>
            </w:r>
          </w:p>
        </w:tc>
      </w:tr>
      <w:tr>
        <w:trPr>
          <w:trHeight w:val="475" w:hRule="atLeast"/>
        </w:trPr>
        <w:tc>
          <w:tcPr>
            <w:tcW w:w="1654" w:type="dxa"/>
            <w:tcBorders>
              <w:bottom w:val="single" w:sz="8" w:space="0" w:color="152935"/>
            </w:tcBorders>
          </w:tcPr>
          <w:p>
            <w:pPr>
              <w:pStyle w:val="TableParagraph"/>
              <w:spacing w:before="78"/>
              <w:ind w:left="60"/>
              <w:rPr>
                <w:rFonts w:ascii="Times New Roman"/>
                <w:sz w:val="24"/>
              </w:rPr>
            </w:pPr>
            <w:r>
              <w:rPr>
                <w:rFonts w:ascii="Times New Roman"/>
                <w:sz w:val="24"/>
              </w:rPr>
              <w:t>Sig. </w:t>
            </w:r>
            <w:r>
              <w:rPr>
                <w:rFonts w:ascii="Times New Roman"/>
                <w:spacing w:val="-2"/>
                <w:sz w:val="24"/>
              </w:rPr>
              <w:t>asin.</w:t>
            </w:r>
          </w:p>
        </w:tc>
        <w:tc>
          <w:tcPr>
            <w:tcW w:w="7441" w:type="dxa"/>
            <w:tcBorders>
              <w:bottom w:val="single" w:sz="8" w:space="0" w:color="152935"/>
            </w:tcBorders>
            <w:shd w:val="clear" w:color="auto" w:fill="F8F8FA"/>
          </w:tcPr>
          <w:p>
            <w:pPr>
              <w:pStyle w:val="TableParagraph"/>
              <w:spacing w:before="78"/>
              <w:ind w:right="56"/>
              <w:jc w:val="right"/>
              <w:rPr>
                <w:rFonts w:ascii="Times New Roman"/>
                <w:sz w:val="24"/>
              </w:rPr>
            </w:pPr>
            <w:r>
              <w:rPr>
                <w:rFonts w:ascii="Times New Roman"/>
                <w:color w:val="000104"/>
                <w:spacing w:val="-4"/>
                <w:sz w:val="24"/>
              </w:rPr>
              <w:t>,000</w:t>
            </w:r>
          </w:p>
        </w:tc>
      </w:tr>
      <w:tr>
        <w:trPr>
          <w:trHeight w:val="639" w:hRule="atLeast"/>
        </w:trPr>
        <w:tc>
          <w:tcPr>
            <w:tcW w:w="9095" w:type="dxa"/>
            <w:gridSpan w:val="2"/>
            <w:tcBorders>
              <w:top w:val="single" w:sz="8" w:space="0" w:color="152935"/>
            </w:tcBorders>
          </w:tcPr>
          <w:p>
            <w:pPr>
              <w:pStyle w:val="TableParagraph"/>
              <w:spacing w:line="320" w:lineRule="atLeast"/>
              <w:ind w:left="60"/>
              <w:rPr>
                <w:rFonts w:ascii="Times New Roman" w:hAnsi="Times New Roman"/>
                <w:sz w:val="24"/>
              </w:rPr>
            </w:pPr>
            <w:r>
              <w:rPr>
                <w:rFonts w:ascii="Times New Roman" w:hAnsi="Times New Roman"/>
                <w:color w:val="000104"/>
                <w:sz w:val="24"/>
              </w:rPr>
              <w:t>a.</w:t>
            </w:r>
            <w:r>
              <w:rPr>
                <w:rFonts w:ascii="Times New Roman" w:hAnsi="Times New Roman"/>
                <w:color w:val="000104"/>
                <w:spacing w:val="-4"/>
                <w:sz w:val="24"/>
              </w:rPr>
              <w:t> </w:t>
            </w:r>
            <w:r>
              <w:rPr>
                <w:rFonts w:ascii="Times New Roman" w:hAnsi="Times New Roman"/>
                <w:color w:val="000104"/>
                <w:sz w:val="24"/>
              </w:rPr>
              <w:t>0</w:t>
            </w:r>
            <w:r>
              <w:rPr>
                <w:rFonts w:ascii="Times New Roman" w:hAnsi="Times New Roman"/>
                <w:color w:val="000104"/>
                <w:spacing w:val="-4"/>
                <w:sz w:val="24"/>
              </w:rPr>
              <w:t> </w:t>
            </w:r>
            <w:r>
              <w:rPr>
                <w:rFonts w:ascii="Times New Roman" w:hAnsi="Times New Roman"/>
                <w:color w:val="000104"/>
                <w:sz w:val="24"/>
              </w:rPr>
              <w:t>casillas</w:t>
            </w:r>
            <w:r>
              <w:rPr>
                <w:rFonts w:ascii="Times New Roman" w:hAnsi="Times New Roman"/>
                <w:color w:val="000104"/>
                <w:spacing w:val="-4"/>
                <w:sz w:val="24"/>
              </w:rPr>
              <w:t> </w:t>
            </w:r>
            <w:r>
              <w:rPr>
                <w:rFonts w:ascii="Times New Roman" w:hAnsi="Times New Roman"/>
                <w:color w:val="000104"/>
                <w:sz w:val="24"/>
              </w:rPr>
              <w:t>(0,0%)</w:t>
            </w:r>
            <w:r>
              <w:rPr>
                <w:rFonts w:ascii="Times New Roman" w:hAnsi="Times New Roman"/>
                <w:color w:val="000104"/>
                <w:spacing w:val="-4"/>
                <w:sz w:val="24"/>
              </w:rPr>
              <w:t> </w:t>
            </w:r>
            <w:r>
              <w:rPr>
                <w:rFonts w:ascii="Times New Roman" w:hAnsi="Times New Roman"/>
                <w:color w:val="000104"/>
                <w:sz w:val="24"/>
              </w:rPr>
              <w:t>han</w:t>
            </w:r>
            <w:r>
              <w:rPr>
                <w:rFonts w:ascii="Times New Roman" w:hAnsi="Times New Roman"/>
                <w:color w:val="000104"/>
                <w:spacing w:val="-4"/>
                <w:sz w:val="24"/>
              </w:rPr>
              <w:t> </w:t>
            </w:r>
            <w:r>
              <w:rPr>
                <w:rFonts w:ascii="Times New Roman" w:hAnsi="Times New Roman"/>
                <w:color w:val="000104"/>
                <w:sz w:val="24"/>
              </w:rPr>
              <w:t>esperado</w:t>
            </w:r>
            <w:r>
              <w:rPr>
                <w:rFonts w:ascii="Times New Roman" w:hAnsi="Times New Roman"/>
                <w:color w:val="000104"/>
                <w:spacing w:val="-4"/>
                <w:sz w:val="24"/>
              </w:rPr>
              <w:t> </w:t>
            </w:r>
            <w:r>
              <w:rPr>
                <w:rFonts w:ascii="Times New Roman" w:hAnsi="Times New Roman"/>
                <w:color w:val="000104"/>
                <w:sz w:val="24"/>
              </w:rPr>
              <w:t>frecuencias</w:t>
            </w:r>
            <w:r>
              <w:rPr>
                <w:rFonts w:ascii="Times New Roman" w:hAnsi="Times New Roman"/>
                <w:color w:val="000104"/>
                <w:spacing w:val="-4"/>
                <w:sz w:val="24"/>
              </w:rPr>
              <w:t> </w:t>
            </w:r>
            <w:r>
              <w:rPr>
                <w:rFonts w:ascii="Times New Roman" w:hAnsi="Times New Roman"/>
                <w:color w:val="000104"/>
                <w:sz w:val="24"/>
              </w:rPr>
              <w:t>menores</w:t>
            </w:r>
            <w:r>
              <w:rPr>
                <w:rFonts w:ascii="Times New Roman" w:hAnsi="Times New Roman"/>
                <w:color w:val="000104"/>
                <w:spacing w:val="-4"/>
                <w:sz w:val="24"/>
              </w:rPr>
              <w:t> </w:t>
            </w:r>
            <w:r>
              <w:rPr>
                <w:rFonts w:ascii="Times New Roman" w:hAnsi="Times New Roman"/>
                <w:color w:val="000104"/>
                <w:sz w:val="24"/>
              </w:rPr>
              <w:t>que</w:t>
            </w:r>
            <w:r>
              <w:rPr>
                <w:rFonts w:ascii="Times New Roman" w:hAnsi="Times New Roman"/>
                <w:color w:val="000104"/>
                <w:spacing w:val="-4"/>
                <w:sz w:val="24"/>
              </w:rPr>
              <w:t> </w:t>
            </w:r>
            <w:r>
              <w:rPr>
                <w:rFonts w:ascii="Times New Roman" w:hAnsi="Times New Roman"/>
                <w:color w:val="000104"/>
                <w:sz w:val="24"/>
              </w:rPr>
              <w:t>5.</w:t>
            </w:r>
            <w:r>
              <w:rPr>
                <w:rFonts w:ascii="Times New Roman" w:hAnsi="Times New Roman"/>
                <w:color w:val="000104"/>
                <w:spacing w:val="-4"/>
                <w:sz w:val="24"/>
              </w:rPr>
              <w:t> </w:t>
            </w:r>
            <w:r>
              <w:rPr>
                <w:rFonts w:ascii="Times New Roman" w:hAnsi="Times New Roman"/>
                <w:color w:val="000104"/>
                <w:sz w:val="24"/>
              </w:rPr>
              <w:t>La</w:t>
            </w:r>
            <w:r>
              <w:rPr>
                <w:rFonts w:ascii="Times New Roman" w:hAnsi="Times New Roman"/>
                <w:color w:val="000104"/>
                <w:spacing w:val="-4"/>
                <w:sz w:val="24"/>
              </w:rPr>
              <w:t> </w:t>
            </w:r>
            <w:r>
              <w:rPr>
                <w:rFonts w:ascii="Times New Roman" w:hAnsi="Times New Roman"/>
                <w:color w:val="000104"/>
                <w:sz w:val="24"/>
              </w:rPr>
              <w:t>frecuencia</w:t>
            </w:r>
            <w:r>
              <w:rPr>
                <w:rFonts w:ascii="Times New Roman" w:hAnsi="Times New Roman"/>
                <w:color w:val="000104"/>
                <w:spacing w:val="-5"/>
                <w:sz w:val="24"/>
              </w:rPr>
              <w:t> </w:t>
            </w:r>
            <w:r>
              <w:rPr>
                <w:rFonts w:ascii="Times New Roman" w:hAnsi="Times New Roman"/>
                <w:color w:val="000104"/>
                <w:sz w:val="24"/>
              </w:rPr>
              <w:t>mínima</w:t>
            </w:r>
            <w:r>
              <w:rPr>
                <w:rFonts w:ascii="Times New Roman" w:hAnsi="Times New Roman"/>
                <w:color w:val="000104"/>
                <w:spacing w:val="-3"/>
                <w:sz w:val="24"/>
              </w:rPr>
              <w:t> </w:t>
            </w:r>
            <w:r>
              <w:rPr>
                <w:rFonts w:ascii="Times New Roman" w:hAnsi="Times New Roman"/>
                <w:color w:val="000104"/>
                <w:sz w:val="24"/>
              </w:rPr>
              <w:t>de</w:t>
            </w:r>
            <w:r>
              <w:rPr>
                <w:rFonts w:ascii="Times New Roman" w:hAnsi="Times New Roman"/>
                <w:color w:val="000104"/>
                <w:spacing w:val="-4"/>
                <w:sz w:val="24"/>
              </w:rPr>
              <w:t> </w:t>
            </w:r>
            <w:r>
              <w:rPr>
                <w:rFonts w:ascii="Times New Roman" w:hAnsi="Times New Roman"/>
                <w:color w:val="000104"/>
                <w:sz w:val="24"/>
              </w:rPr>
              <w:t>casilla esperada es 8,6.</w:t>
            </w:r>
          </w:p>
        </w:tc>
      </w:tr>
    </w:tbl>
    <w:p>
      <w:pPr>
        <w:pStyle w:val="BodyText"/>
        <w:spacing w:before="233"/>
        <w:rPr>
          <w:i/>
        </w:rPr>
      </w:pPr>
    </w:p>
    <w:p>
      <w:pPr>
        <w:pStyle w:val="BodyText"/>
        <w:spacing w:before="1"/>
        <w:ind w:left="863"/>
      </w:pPr>
      <w:r>
        <w:rPr>
          <w:i/>
        </w:rPr>
        <w:t>Nota</w:t>
      </w:r>
      <w:r>
        <w:rPr/>
        <w:t>.</w:t>
      </w:r>
      <w:r>
        <w:rPr>
          <w:spacing w:val="-1"/>
        </w:rPr>
        <w:t> </w:t>
      </w:r>
      <w:r>
        <w:rPr/>
        <w:t>Diseño </w:t>
      </w:r>
      <w:r>
        <w:rPr>
          <w:spacing w:val="-2"/>
        </w:rPr>
        <w:t>propio.</w:t>
      </w:r>
    </w:p>
    <w:p>
      <w:pPr>
        <w:pStyle w:val="BodyText"/>
      </w:pPr>
    </w:p>
    <w:p>
      <w:pPr>
        <w:pStyle w:val="ListParagraph"/>
        <w:numPr>
          <w:ilvl w:val="0"/>
          <w:numId w:val="19"/>
        </w:numPr>
        <w:tabs>
          <w:tab w:pos="850" w:val="left" w:leader="none"/>
        </w:tabs>
        <w:spacing w:line="240" w:lineRule="auto" w:before="0" w:after="0"/>
        <w:ind w:left="850" w:right="0" w:hanging="359"/>
        <w:jc w:val="both"/>
        <w:rPr>
          <w:sz w:val="24"/>
        </w:rPr>
      </w:pPr>
      <w:r>
        <w:rPr>
          <w:sz w:val="24"/>
        </w:rPr>
        <w:t>P-</w:t>
      </w:r>
      <w:r>
        <w:rPr>
          <w:spacing w:val="-2"/>
          <w:sz w:val="24"/>
        </w:rPr>
        <w:t>valor</w:t>
      </w:r>
    </w:p>
    <w:p>
      <w:pPr>
        <w:pStyle w:val="BodyText"/>
      </w:pPr>
    </w:p>
    <w:p>
      <w:pPr>
        <w:pStyle w:val="BodyText"/>
        <w:spacing w:line="480" w:lineRule="auto"/>
        <w:ind w:left="863" w:right="2408"/>
        <w:jc w:val="both"/>
      </w:pPr>
      <w:r>
        <w:rPr/>
        <w:t>Si la significancia es superior a alfa se acepta la hipótesis nula (H0) Si</w:t>
      </w:r>
      <w:r>
        <w:rPr>
          <w:spacing w:val="-1"/>
        </w:rPr>
        <w:t> </w:t>
      </w:r>
      <w:r>
        <w:rPr/>
        <w:t>la</w:t>
      </w:r>
      <w:r>
        <w:rPr>
          <w:spacing w:val="-1"/>
        </w:rPr>
        <w:t> </w:t>
      </w:r>
      <w:r>
        <w:rPr/>
        <w:t>significancia</w:t>
      </w:r>
      <w:r>
        <w:rPr>
          <w:spacing w:val="-1"/>
        </w:rPr>
        <w:t> </w:t>
      </w:r>
      <w:r>
        <w:rPr/>
        <w:t>es</w:t>
      </w:r>
      <w:r>
        <w:rPr>
          <w:spacing w:val="1"/>
        </w:rPr>
        <w:t> </w:t>
      </w:r>
      <w:r>
        <w:rPr/>
        <w:t>inferior</w:t>
      </w:r>
      <w:r>
        <w:rPr>
          <w:spacing w:val="-1"/>
        </w:rPr>
        <w:t> </w:t>
      </w:r>
      <w:r>
        <w:rPr/>
        <w:t>a</w:t>
      </w:r>
      <w:r>
        <w:rPr>
          <w:spacing w:val="-1"/>
        </w:rPr>
        <w:t> </w:t>
      </w:r>
      <w:r>
        <w:rPr/>
        <w:t>alfa</w:t>
      </w:r>
      <w:r>
        <w:rPr>
          <w:spacing w:val="-3"/>
        </w:rPr>
        <w:t> </w:t>
      </w:r>
      <w:r>
        <w:rPr/>
        <w:t>se</w:t>
      </w:r>
      <w:r>
        <w:rPr>
          <w:spacing w:val="-1"/>
        </w:rPr>
        <w:t> </w:t>
      </w:r>
      <w:r>
        <w:rPr/>
        <w:t>acepta</w:t>
      </w:r>
      <w:r>
        <w:rPr>
          <w:spacing w:val="-1"/>
        </w:rPr>
        <w:t> </w:t>
      </w:r>
      <w:r>
        <w:rPr/>
        <w:t>la</w:t>
      </w:r>
      <w:r>
        <w:rPr>
          <w:spacing w:val="-1"/>
        </w:rPr>
        <w:t> </w:t>
      </w:r>
      <w:r>
        <w:rPr/>
        <w:t>hipótesis</w:t>
      </w:r>
      <w:r>
        <w:rPr>
          <w:spacing w:val="-1"/>
        </w:rPr>
        <w:t> </w:t>
      </w:r>
      <w:r>
        <w:rPr/>
        <w:t>alterna </w:t>
      </w:r>
      <w:r>
        <w:rPr>
          <w:spacing w:val="-4"/>
        </w:rPr>
        <w:t>(H1)</w:t>
      </w:r>
    </w:p>
    <w:p>
      <w:pPr>
        <w:pStyle w:val="ListParagraph"/>
        <w:numPr>
          <w:ilvl w:val="0"/>
          <w:numId w:val="19"/>
        </w:numPr>
        <w:tabs>
          <w:tab w:pos="850" w:val="left" w:leader="none"/>
        </w:tabs>
        <w:spacing w:line="240" w:lineRule="auto" w:before="1" w:after="0"/>
        <w:ind w:left="850" w:right="0" w:hanging="359"/>
        <w:jc w:val="both"/>
        <w:rPr>
          <w:sz w:val="24"/>
        </w:rPr>
      </w:pPr>
      <w:r>
        <w:rPr>
          <w:spacing w:val="-2"/>
          <w:sz w:val="24"/>
        </w:rPr>
        <w:t>Decisión</w:t>
      </w:r>
    </w:p>
    <w:p>
      <w:pPr>
        <w:pStyle w:val="BodyText"/>
        <w:spacing w:line="480" w:lineRule="auto" w:before="275"/>
        <w:ind w:left="851" w:right="988" w:firstLine="720"/>
        <w:jc w:val="both"/>
      </w:pPr>
      <w:r>
        <w:rPr/>
        <w:t>La tabla 3 muestra una significancia de 0,000, lo que indica que el resultado es altamente significativo. En consecuencia, se acepta la H1, que establece el impuesto general de las ventas influye significativamente en la percepción económica</w:t>
      </w:r>
      <w:r>
        <w:rPr>
          <w:spacing w:val="-13"/>
        </w:rPr>
        <w:t> </w:t>
      </w:r>
      <w:r>
        <w:rPr/>
        <w:t>de</w:t>
      </w:r>
      <w:r>
        <w:rPr>
          <w:spacing w:val="-13"/>
        </w:rPr>
        <w:t> </w:t>
      </w:r>
      <w:r>
        <w:rPr/>
        <w:t>los</w:t>
      </w:r>
      <w:r>
        <w:rPr>
          <w:spacing w:val="-11"/>
        </w:rPr>
        <w:t> </w:t>
      </w:r>
      <w:r>
        <w:rPr/>
        <w:t>comerciantes</w:t>
      </w:r>
      <w:r>
        <w:rPr>
          <w:spacing w:val="-12"/>
        </w:rPr>
        <w:t> </w:t>
      </w:r>
      <w:r>
        <w:rPr/>
        <w:t>en</w:t>
      </w:r>
      <w:r>
        <w:rPr>
          <w:spacing w:val="-12"/>
        </w:rPr>
        <w:t> </w:t>
      </w:r>
      <w:r>
        <w:rPr/>
        <w:t>el</w:t>
      </w:r>
      <w:r>
        <w:rPr>
          <w:spacing w:val="-14"/>
        </w:rPr>
        <w:t> </w:t>
      </w:r>
      <w:r>
        <w:rPr/>
        <w:t>centro</w:t>
      </w:r>
      <w:r>
        <w:rPr>
          <w:spacing w:val="-11"/>
        </w:rPr>
        <w:t> </w:t>
      </w:r>
      <w:r>
        <w:rPr/>
        <w:t>de</w:t>
      </w:r>
      <w:r>
        <w:rPr>
          <w:spacing w:val="-13"/>
        </w:rPr>
        <w:t> </w:t>
      </w:r>
      <w:r>
        <w:rPr/>
        <w:t>abastos</w:t>
      </w:r>
      <w:r>
        <w:rPr>
          <w:spacing w:val="-12"/>
        </w:rPr>
        <w:t> </w:t>
      </w:r>
      <w:r>
        <w:rPr/>
        <w:t>las</w:t>
      </w:r>
      <w:r>
        <w:rPr>
          <w:spacing w:val="-12"/>
        </w:rPr>
        <w:t> </w:t>
      </w:r>
      <w:r>
        <w:rPr/>
        <w:t>Mercedes</w:t>
      </w:r>
      <w:r>
        <w:rPr>
          <w:spacing w:val="-11"/>
        </w:rPr>
        <w:t> </w:t>
      </w:r>
      <w:r>
        <w:rPr/>
        <w:t>de</w:t>
      </w:r>
      <w:r>
        <w:rPr>
          <w:spacing w:val="-13"/>
        </w:rPr>
        <w:t> </w:t>
      </w:r>
      <w:r>
        <w:rPr/>
        <w:t>Juliaca,</w:t>
      </w:r>
      <w:r>
        <w:rPr>
          <w:spacing w:val="-12"/>
        </w:rPr>
        <w:t> </w:t>
      </w:r>
      <w:r>
        <w:rPr>
          <w:spacing w:val="-2"/>
        </w:rPr>
        <w:t>2023.</w:t>
      </w:r>
    </w:p>
    <w:p>
      <w:pPr>
        <w:pStyle w:val="BodyText"/>
        <w:spacing w:after="0" w:line="480" w:lineRule="auto"/>
        <w:jc w:val="both"/>
        <w:sectPr>
          <w:headerReference w:type="default" r:id="rId51"/>
          <w:footerReference w:type="default" r:id="rId52"/>
          <w:pgSz w:w="11910" w:h="16840"/>
          <w:pgMar w:header="0" w:footer="693" w:top="1340" w:bottom="880" w:left="1559" w:right="425"/>
        </w:sectPr>
      </w:pPr>
    </w:p>
    <w:p>
      <w:pPr>
        <w:pStyle w:val="Heading3"/>
        <w:numPr>
          <w:ilvl w:val="0"/>
          <w:numId w:val="19"/>
        </w:numPr>
        <w:tabs>
          <w:tab w:pos="850" w:val="left" w:leader="none"/>
        </w:tabs>
        <w:spacing w:line="240" w:lineRule="auto" w:before="67" w:after="0"/>
        <w:ind w:left="850" w:right="0" w:hanging="359"/>
        <w:jc w:val="both"/>
      </w:pPr>
      <w:r>
        <w:rPr/>
        <w:t>Planteamiento</w:t>
      </w:r>
      <w:r>
        <w:rPr>
          <w:spacing w:val="-4"/>
        </w:rPr>
        <w:t> </w:t>
      </w:r>
      <w:r>
        <w:rPr/>
        <w:t>de</w:t>
      </w:r>
      <w:r>
        <w:rPr>
          <w:spacing w:val="-2"/>
        </w:rPr>
        <w:t> </w:t>
      </w:r>
      <w:r>
        <w:rPr>
          <w:spacing w:val="-5"/>
        </w:rPr>
        <w:t>HE1</w:t>
      </w:r>
    </w:p>
    <w:p>
      <w:pPr>
        <w:pStyle w:val="BodyText"/>
        <w:spacing w:line="480" w:lineRule="auto" w:before="275"/>
        <w:ind w:left="1419" w:right="989" w:hanging="557"/>
        <w:jc w:val="both"/>
      </w:pPr>
      <w:r>
        <w:rPr/>
        <w:t>H0: La estabilidad económica no influye significativamente en la percepción económica de los comerciantes del centro de abastos las Mercedes de Juliaca, </w:t>
      </w:r>
      <w:r>
        <w:rPr>
          <w:spacing w:val="-2"/>
        </w:rPr>
        <w:t>2023.</w:t>
      </w:r>
    </w:p>
    <w:p>
      <w:pPr>
        <w:pStyle w:val="BodyText"/>
        <w:spacing w:line="477" w:lineRule="auto" w:before="1"/>
        <w:ind w:left="1277" w:right="992" w:hanging="415"/>
        <w:jc w:val="both"/>
      </w:pPr>
      <w:r>
        <w:rPr/>
        <w:t>H1:</w:t>
      </w:r>
      <w:r>
        <w:rPr>
          <w:spacing w:val="-15"/>
        </w:rPr>
        <w:t> </w:t>
      </w:r>
      <w:r>
        <w:rPr/>
        <w:t>La</w:t>
      </w:r>
      <w:r>
        <w:rPr>
          <w:spacing w:val="-15"/>
        </w:rPr>
        <w:t> </w:t>
      </w:r>
      <w:r>
        <w:rPr/>
        <w:t>estabilidad</w:t>
      </w:r>
      <w:r>
        <w:rPr>
          <w:spacing w:val="-15"/>
        </w:rPr>
        <w:t> </w:t>
      </w:r>
      <w:r>
        <w:rPr/>
        <w:t>económica</w:t>
      </w:r>
      <w:r>
        <w:rPr>
          <w:spacing w:val="-15"/>
        </w:rPr>
        <w:t> </w:t>
      </w:r>
      <w:r>
        <w:rPr/>
        <w:t>influye</w:t>
      </w:r>
      <w:r>
        <w:rPr>
          <w:spacing w:val="-15"/>
        </w:rPr>
        <w:t> </w:t>
      </w:r>
      <w:r>
        <w:rPr/>
        <w:t>significativamente</w:t>
      </w:r>
      <w:r>
        <w:rPr>
          <w:spacing w:val="-15"/>
        </w:rPr>
        <w:t> </w:t>
      </w:r>
      <w:r>
        <w:rPr/>
        <w:t>en</w:t>
      </w:r>
      <w:r>
        <w:rPr>
          <w:spacing w:val="-15"/>
        </w:rPr>
        <w:t> </w:t>
      </w:r>
      <w:r>
        <w:rPr/>
        <w:t>la</w:t>
      </w:r>
      <w:r>
        <w:rPr>
          <w:spacing w:val="-15"/>
        </w:rPr>
        <w:t> </w:t>
      </w:r>
      <w:r>
        <w:rPr/>
        <w:t>percepción</w:t>
      </w:r>
      <w:r>
        <w:rPr>
          <w:spacing w:val="-15"/>
        </w:rPr>
        <w:t> </w:t>
      </w:r>
      <w:r>
        <w:rPr/>
        <w:t>económica de los comerciantes del centro de abastos las Mercedes de Juliaca, 2023.</w:t>
      </w:r>
    </w:p>
    <w:p>
      <w:pPr>
        <w:pStyle w:val="ListParagraph"/>
        <w:numPr>
          <w:ilvl w:val="0"/>
          <w:numId w:val="19"/>
        </w:numPr>
        <w:tabs>
          <w:tab w:pos="850" w:val="left" w:leader="none"/>
        </w:tabs>
        <w:spacing w:line="240" w:lineRule="auto" w:before="4" w:after="0"/>
        <w:ind w:left="850" w:right="0" w:hanging="359"/>
        <w:jc w:val="both"/>
        <w:rPr>
          <w:sz w:val="24"/>
        </w:rPr>
      </w:pPr>
      <w:r>
        <w:rPr>
          <w:spacing w:val="-2"/>
          <w:sz w:val="24"/>
        </w:rPr>
        <w:t>Estadística</w:t>
      </w:r>
    </w:p>
    <w:p>
      <w:pPr>
        <w:pStyle w:val="Heading3"/>
        <w:spacing w:before="275"/>
        <w:ind w:left="863"/>
      </w:pPr>
      <w:bookmarkStart w:name="_bookmark62" w:id="63"/>
      <w:bookmarkEnd w:id="63"/>
      <w:r>
        <w:rPr>
          <w:b w:val="0"/>
        </w:rPr>
      </w:r>
      <w:r>
        <w:rPr/>
        <w:t>Tabla </w:t>
      </w:r>
      <w:r>
        <w:rPr>
          <w:spacing w:val="-10"/>
        </w:rPr>
        <w:t>4</w:t>
      </w:r>
    </w:p>
    <w:p>
      <w:pPr>
        <w:pStyle w:val="BodyText"/>
        <w:rPr>
          <w:b/>
        </w:rPr>
      </w:pPr>
    </w:p>
    <w:p>
      <w:pPr>
        <w:spacing w:before="0"/>
        <w:ind w:left="863" w:right="0" w:firstLine="0"/>
        <w:jc w:val="left"/>
        <w:rPr>
          <w:i/>
          <w:sz w:val="24"/>
        </w:rPr>
      </w:pPr>
      <w:bookmarkStart w:name="_bookmark63" w:id="64"/>
      <w:bookmarkEnd w:id="64"/>
      <w:r>
        <w:rPr/>
      </w:r>
      <w:r>
        <w:rPr>
          <w:i/>
          <w:sz w:val="24"/>
        </w:rPr>
        <w:t>Prueba</w:t>
      </w:r>
      <w:r>
        <w:rPr>
          <w:i/>
          <w:spacing w:val="-1"/>
          <w:sz w:val="24"/>
        </w:rPr>
        <w:t> </w:t>
      </w:r>
      <w:r>
        <w:rPr>
          <w:i/>
          <w:sz w:val="24"/>
        </w:rPr>
        <w:t>de</w:t>
      </w:r>
      <w:r>
        <w:rPr>
          <w:i/>
          <w:spacing w:val="-2"/>
          <w:sz w:val="24"/>
        </w:rPr>
        <w:t> </w:t>
      </w:r>
      <w:r>
        <w:rPr>
          <w:i/>
          <w:sz w:val="24"/>
        </w:rPr>
        <w:t>Chi-cuadrado</w:t>
      </w:r>
      <w:r>
        <w:rPr>
          <w:i/>
          <w:spacing w:val="-1"/>
          <w:sz w:val="24"/>
        </w:rPr>
        <w:t> </w:t>
      </w:r>
      <w:r>
        <w:rPr>
          <w:i/>
          <w:sz w:val="24"/>
        </w:rPr>
        <w:t>de</w:t>
      </w:r>
      <w:r>
        <w:rPr>
          <w:i/>
          <w:spacing w:val="-1"/>
          <w:sz w:val="24"/>
        </w:rPr>
        <w:t> </w:t>
      </w:r>
      <w:r>
        <w:rPr>
          <w:i/>
          <w:sz w:val="24"/>
        </w:rPr>
        <w:t>la </w:t>
      </w:r>
      <w:r>
        <w:rPr>
          <w:i/>
          <w:spacing w:val="-5"/>
          <w:sz w:val="24"/>
        </w:rPr>
        <w:t>HE1</w:t>
      </w:r>
    </w:p>
    <w:p>
      <w:pPr>
        <w:pStyle w:val="BodyText"/>
        <w:spacing w:before="46"/>
        <w:rPr>
          <w:i/>
          <w:sz w:val="20"/>
        </w:rPr>
      </w:pPr>
    </w:p>
    <w:tbl>
      <w:tblPr>
        <w:tblW w:w="0" w:type="auto"/>
        <w:jc w:val="left"/>
        <w:tblInd w:w="1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54"/>
        <w:gridCol w:w="7441"/>
      </w:tblGrid>
      <w:tr>
        <w:trPr>
          <w:trHeight w:val="442" w:hRule="atLeast"/>
        </w:trPr>
        <w:tc>
          <w:tcPr>
            <w:tcW w:w="9095" w:type="dxa"/>
            <w:gridSpan w:val="2"/>
            <w:tcBorders>
              <w:top w:val="single" w:sz="4" w:space="0" w:color="000000"/>
              <w:bottom w:val="single" w:sz="8" w:space="0" w:color="152935"/>
            </w:tcBorders>
          </w:tcPr>
          <w:p>
            <w:pPr>
              <w:pStyle w:val="TableParagraph"/>
              <w:spacing w:line="256" w:lineRule="exact" w:before="166"/>
              <w:ind w:left="3242"/>
              <w:rPr>
                <w:rFonts w:ascii="Times New Roman" w:hAnsi="Times New Roman"/>
                <w:sz w:val="24"/>
              </w:rPr>
            </w:pPr>
            <w:r>
              <w:rPr>
                <w:rFonts w:ascii="Times New Roman" w:hAnsi="Times New Roman"/>
                <w:sz w:val="24"/>
              </w:rPr>
              <w:t>ESTABILIDAD</w:t>
            </w:r>
            <w:r>
              <w:rPr>
                <w:rFonts w:ascii="Times New Roman" w:hAnsi="Times New Roman"/>
                <w:spacing w:val="-1"/>
                <w:sz w:val="24"/>
              </w:rPr>
              <w:t> </w:t>
            </w:r>
            <w:r>
              <w:rPr>
                <w:rFonts w:ascii="Times New Roman" w:hAnsi="Times New Roman"/>
                <w:sz w:val="24"/>
              </w:rPr>
              <w:t>ECONÓMICA</w:t>
            </w:r>
            <w:r>
              <w:rPr>
                <w:rFonts w:ascii="Times New Roman" w:hAnsi="Times New Roman"/>
                <w:spacing w:val="1"/>
                <w:sz w:val="24"/>
              </w:rPr>
              <w:t> </w:t>
            </w:r>
            <w:r>
              <w:rPr>
                <w:rFonts w:ascii="Times New Roman" w:hAnsi="Times New Roman"/>
                <w:spacing w:val="-2"/>
                <w:sz w:val="24"/>
              </w:rPr>
              <w:t>(Agrupada)</w:t>
            </w:r>
          </w:p>
        </w:tc>
      </w:tr>
      <w:tr>
        <w:trPr>
          <w:trHeight w:val="408" w:hRule="atLeast"/>
        </w:trPr>
        <w:tc>
          <w:tcPr>
            <w:tcW w:w="1654" w:type="dxa"/>
            <w:tcBorders>
              <w:top w:val="single" w:sz="8" w:space="0" w:color="152935"/>
            </w:tcBorders>
          </w:tcPr>
          <w:p>
            <w:pPr>
              <w:pStyle w:val="TableParagraph"/>
              <w:spacing w:before="44"/>
              <w:ind w:left="60"/>
              <w:rPr>
                <w:rFonts w:ascii="Times New Roman"/>
                <w:sz w:val="24"/>
              </w:rPr>
            </w:pPr>
            <w:r>
              <w:rPr>
                <w:rFonts w:ascii="Times New Roman"/>
                <w:spacing w:val="-2"/>
                <w:sz w:val="24"/>
              </w:rPr>
              <w:t>Chi-cuadrado</w:t>
            </w:r>
          </w:p>
        </w:tc>
        <w:tc>
          <w:tcPr>
            <w:tcW w:w="7441" w:type="dxa"/>
            <w:tcBorders>
              <w:top w:val="single" w:sz="8" w:space="0" w:color="152935"/>
            </w:tcBorders>
            <w:shd w:val="clear" w:color="auto" w:fill="F8F8FA"/>
          </w:tcPr>
          <w:p>
            <w:pPr>
              <w:pStyle w:val="TableParagraph"/>
              <w:spacing w:before="44"/>
              <w:ind w:right="56"/>
              <w:jc w:val="right"/>
              <w:rPr>
                <w:rFonts w:ascii="Times New Roman"/>
                <w:sz w:val="24"/>
              </w:rPr>
            </w:pPr>
            <w:r>
              <w:rPr>
                <w:rFonts w:ascii="Times New Roman"/>
                <w:color w:val="000104"/>
                <w:spacing w:val="-2"/>
                <w:sz w:val="24"/>
              </w:rPr>
              <w:t>8,619</w:t>
            </w:r>
            <w:r>
              <w:rPr>
                <w:rFonts w:ascii="Times New Roman"/>
                <w:color w:val="000104"/>
                <w:spacing w:val="-2"/>
                <w:sz w:val="24"/>
                <w:vertAlign w:val="superscript"/>
              </w:rPr>
              <w:t>a</w:t>
            </w:r>
          </w:p>
        </w:tc>
      </w:tr>
      <w:tr>
        <w:trPr>
          <w:trHeight w:val="442" w:hRule="atLeast"/>
        </w:trPr>
        <w:tc>
          <w:tcPr>
            <w:tcW w:w="1654" w:type="dxa"/>
          </w:tcPr>
          <w:p>
            <w:pPr>
              <w:pStyle w:val="TableParagraph"/>
              <w:spacing w:before="78"/>
              <w:ind w:left="60"/>
              <w:rPr>
                <w:rFonts w:ascii="Times New Roman"/>
                <w:sz w:val="24"/>
              </w:rPr>
            </w:pPr>
            <w:r>
              <w:rPr>
                <w:rFonts w:ascii="Times New Roman"/>
                <w:spacing w:val="-5"/>
                <w:sz w:val="24"/>
              </w:rPr>
              <w:t>gl</w:t>
            </w:r>
          </w:p>
        </w:tc>
        <w:tc>
          <w:tcPr>
            <w:tcW w:w="7441" w:type="dxa"/>
            <w:shd w:val="clear" w:color="auto" w:fill="F8F8FA"/>
          </w:tcPr>
          <w:p>
            <w:pPr>
              <w:pStyle w:val="TableParagraph"/>
              <w:spacing w:before="78"/>
              <w:ind w:right="56"/>
              <w:jc w:val="right"/>
              <w:rPr>
                <w:rFonts w:ascii="Times New Roman"/>
                <w:sz w:val="24"/>
              </w:rPr>
            </w:pPr>
            <w:r>
              <w:rPr>
                <w:rFonts w:ascii="Times New Roman"/>
                <w:color w:val="000104"/>
                <w:spacing w:val="-5"/>
                <w:sz w:val="24"/>
              </w:rPr>
              <w:t>174</w:t>
            </w:r>
          </w:p>
        </w:tc>
      </w:tr>
      <w:tr>
        <w:trPr>
          <w:trHeight w:val="475" w:hRule="atLeast"/>
        </w:trPr>
        <w:tc>
          <w:tcPr>
            <w:tcW w:w="1654" w:type="dxa"/>
            <w:tcBorders>
              <w:bottom w:val="single" w:sz="8" w:space="0" w:color="152935"/>
            </w:tcBorders>
          </w:tcPr>
          <w:p>
            <w:pPr>
              <w:pStyle w:val="TableParagraph"/>
              <w:spacing w:before="78"/>
              <w:ind w:left="60"/>
              <w:rPr>
                <w:rFonts w:ascii="Times New Roman"/>
                <w:sz w:val="24"/>
              </w:rPr>
            </w:pPr>
            <w:r>
              <w:rPr>
                <w:rFonts w:ascii="Times New Roman"/>
                <w:sz w:val="24"/>
              </w:rPr>
              <w:t>Sig. </w:t>
            </w:r>
            <w:r>
              <w:rPr>
                <w:rFonts w:ascii="Times New Roman"/>
                <w:spacing w:val="-2"/>
                <w:sz w:val="24"/>
              </w:rPr>
              <w:t>asin.</w:t>
            </w:r>
          </w:p>
        </w:tc>
        <w:tc>
          <w:tcPr>
            <w:tcW w:w="7441" w:type="dxa"/>
            <w:tcBorders>
              <w:bottom w:val="single" w:sz="8" w:space="0" w:color="152935"/>
            </w:tcBorders>
            <w:shd w:val="clear" w:color="auto" w:fill="F8F8FA"/>
          </w:tcPr>
          <w:p>
            <w:pPr>
              <w:pStyle w:val="TableParagraph"/>
              <w:spacing w:before="78"/>
              <w:ind w:right="56"/>
              <w:jc w:val="right"/>
              <w:rPr>
                <w:rFonts w:ascii="Times New Roman"/>
                <w:sz w:val="24"/>
              </w:rPr>
            </w:pPr>
            <w:r>
              <w:rPr>
                <w:rFonts w:ascii="Times New Roman"/>
                <w:color w:val="000104"/>
                <w:spacing w:val="-4"/>
                <w:sz w:val="24"/>
              </w:rPr>
              <w:t>,000</w:t>
            </w:r>
          </w:p>
        </w:tc>
      </w:tr>
      <w:tr>
        <w:trPr>
          <w:trHeight w:val="639" w:hRule="atLeast"/>
        </w:trPr>
        <w:tc>
          <w:tcPr>
            <w:tcW w:w="9095" w:type="dxa"/>
            <w:gridSpan w:val="2"/>
            <w:tcBorders>
              <w:top w:val="single" w:sz="8" w:space="0" w:color="152935"/>
            </w:tcBorders>
          </w:tcPr>
          <w:p>
            <w:pPr>
              <w:pStyle w:val="TableParagraph"/>
              <w:spacing w:line="320" w:lineRule="atLeast"/>
              <w:ind w:left="60"/>
              <w:rPr>
                <w:rFonts w:ascii="Times New Roman" w:hAnsi="Times New Roman"/>
                <w:sz w:val="24"/>
              </w:rPr>
            </w:pPr>
            <w:r>
              <w:rPr>
                <w:rFonts w:ascii="Times New Roman" w:hAnsi="Times New Roman"/>
                <w:color w:val="000104"/>
                <w:sz w:val="24"/>
              </w:rPr>
              <w:t>a.</w:t>
            </w:r>
            <w:r>
              <w:rPr>
                <w:rFonts w:ascii="Times New Roman" w:hAnsi="Times New Roman"/>
                <w:color w:val="000104"/>
                <w:spacing w:val="-3"/>
                <w:sz w:val="24"/>
              </w:rPr>
              <w:t> </w:t>
            </w:r>
            <w:r>
              <w:rPr>
                <w:rFonts w:ascii="Times New Roman" w:hAnsi="Times New Roman"/>
                <w:color w:val="000104"/>
                <w:sz w:val="24"/>
              </w:rPr>
              <w:t>0</w:t>
            </w:r>
            <w:r>
              <w:rPr>
                <w:rFonts w:ascii="Times New Roman" w:hAnsi="Times New Roman"/>
                <w:color w:val="000104"/>
                <w:spacing w:val="-3"/>
                <w:sz w:val="24"/>
              </w:rPr>
              <w:t> </w:t>
            </w:r>
            <w:r>
              <w:rPr>
                <w:rFonts w:ascii="Times New Roman" w:hAnsi="Times New Roman"/>
                <w:color w:val="000104"/>
                <w:sz w:val="24"/>
              </w:rPr>
              <w:t>casillas</w:t>
            </w:r>
            <w:r>
              <w:rPr>
                <w:rFonts w:ascii="Times New Roman" w:hAnsi="Times New Roman"/>
                <w:color w:val="000104"/>
                <w:spacing w:val="-3"/>
                <w:sz w:val="24"/>
              </w:rPr>
              <w:t> </w:t>
            </w:r>
            <w:r>
              <w:rPr>
                <w:rFonts w:ascii="Times New Roman" w:hAnsi="Times New Roman"/>
                <w:color w:val="000104"/>
                <w:sz w:val="24"/>
              </w:rPr>
              <w:t>(0,0%)</w:t>
            </w:r>
            <w:r>
              <w:rPr>
                <w:rFonts w:ascii="Times New Roman" w:hAnsi="Times New Roman"/>
                <w:color w:val="000104"/>
                <w:spacing w:val="-3"/>
                <w:sz w:val="24"/>
              </w:rPr>
              <w:t> </w:t>
            </w:r>
            <w:r>
              <w:rPr>
                <w:rFonts w:ascii="Times New Roman" w:hAnsi="Times New Roman"/>
                <w:color w:val="000104"/>
                <w:sz w:val="24"/>
              </w:rPr>
              <w:t>han</w:t>
            </w:r>
            <w:r>
              <w:rPr>
                <w:rFonts w:ascii="Times New Roman" w:hAnsi="Times New Roman"/>
                <w:color w:val="000104"/>
                <w:spacing w:val="-3"/>
                <w:sz w:val="24"/>
              </w:rPr>
              <w:t> </w:t>
            </w:r>
            <w:r>
              <w:rPr>
                <w:rFonts w:ascii="Times New Roman" w:hAnsi="Times New Roman"/>
                <w:color w:val="000104"/>
                <w:sz w:val="24"/>
              </w:rPr>
              <w:t>esperado</w:t>
            </w:r>
            <w:r>
              <w:rPr>
                <w:rFonts w:ascii="Times New Roman" w:hAnsi="Times New Roman"/>
                <w:color w:val="000104"/>
                <w:spacing w:val="-3"/>
                <w:sz w:val="24"/>
              </w:rPr>
              <w:t> </w:t>
            </w:r>
            <w:r>
              <w:rPr>
                <w:rFonts w:ascii="Times New Roman" w:hAnsi="Times New Roman"/>
                <w:color w:val="000104"/>
                <w:sz w:val="24"/>
              </w:rPr>
              <w:t>frecuencias</w:t>
            </w:r>
            <w:r>
              <w:rPr>
                <w:rFonts w:ascii="Times New Roman" w:hAnsi="Times New Roman"/>
                <w:color w:val="000104"/>
                <w:spacing w:val="-3"/>
                <w:sz w:val="24"/>
              </w:rPr>
              <w:t> </w:t>
            </w:r>
            <w:r>
              <w:rPr>
                <w:rFonts w:ascii="Times New Roman" w:hAnsi="Times New Roman"/>
                <w:color w:val="000104"/>
                <w:sz w:val="24"/>
              </w:rPr>
              <w:t>menores</w:t>
            </w:r>
            <w:r>
              <w:rPr>
                <w:rFonts w:ascii="Times New Roman" w:hAnsi="Times New Roman"/>
                <w:color w:val="000104"/>
                <w:spacing w:val="-3"/>
                <w:sz w:val="24"/>
              </w:rPr>
              <w:t> </w:t>
            </w:r>
            <w:r>
              <w:rPr>
                <w:rFonts w:ascii="Times New Roman" w:hAnsi="Times New Roman"/>
                <w:color w:val="000104"/>
                <w:sz w:val="24"/>
              </w:rPr>
              <w:t>que</w:t>
            </w:r>
            <w:r>
              <w:rPr>
                <w:rFonts w:ascii="Times New Roman" w:hAnsi="Times New Roman"/>
                <w:color w:val="000104"/>
                <w:spacing w:val="-3"/>
                <w:sz w:val="24"/>
              </w:rPr>
              <w:t> </w:t>
            </w:r>
            <w:r>
              <w:rPr>
                <w:rFonts w:ascii="Times New Roman" w:hAnsi="Times New Roman"/>
                <w:color w:val="000104"/>
                <w:sz w:val="24"/>
              </w:rPr>
              <w:t>5.</w:t>
            </w:r>
            <w:r>
              <w:rPr>
                <w:rFonts w:ascii="Times New Roman" w:hAnsi="Times New Roman"/>
                <w:color w:val="000104"/>
                <w:spacing w:val="-3"/>
                <w:sz w:val="24"/>
              </w:rPr>
              <w:t> </w:t>
            </w:r>
            <w:r>
              <w:rPr>
                <w:rFonts w:ascii="Times New Roman" w:hAnsi="Times New Roman"/>
                <w:color w:val="000104"/>
                <w:sz w:val="24"/>
              </w:rPr>
              <w:t>La</w:t>
            </w:r>
            <w:r>
              <w:rPr>
                <w:rFonts w:ascii="Times New Roman" w:hAnsi="Times New Roman"/>
                <w:color w:val="000104"/>
                <w:spacing w:val="-3"/>
                <w:sz w:val="24"/>
              </w:rPr>
              <w:t> </w:t>
            </w:r>
            <w:r>
              <w:rPr>
                <w:rFonts w:ascii="Times New Roman" w:hAnsi="Times New Roman"/>
                <w:color w:val="000104"/>
                <w:sz w:val="24"/>
              </w:rPr>
              <w:t>frecuencia</w:t>
            </w:r>
            <w:r>
              <w:rPr>
                <w:rFonts w:ascii="Times New Roman" w:hAnsi="Times New Roman"/>
                <w:color w:val="000104"/>
                <w:spacing w:val="-5"/>
                <w:sz w:val="24"/>
              </w:rPr>
              <w:t> </w:t>
            </w:r>
            <w:r>
              <w:rPr>
                <w:rFonts w:ascii="Times New Roman" w:hAnsi="Times New Roman"/>
                <w:color w:val="000104"/>
                <w:sz w:val="24"/>
              </w:rPr>
              <w:t>mínima</w:t>
            </w:r>
            <w:r>
              <w:rPr>
                <w:rFonts w:ascii="Times New Roman" w:hAnsi="Times New Roman"/>
                <w:color w:val="000104"/>
                <w:spacing w:val="-3"/>
                <w:sz w:val="24"/>
              </w:rPr>
              <w:t> </w:t>
            </w:r>
            <w:r>
              <w:rPr>
                <w:rFonts w:ascii="Times New Roman" w:hAnsi="Times New Roman"/>
                <w:color w:val="000104"/>
                <w:sz w:val="24"/>
              </w:rPr>
              <w:t>de</w:t>
            </w:r>
            <w:r>
              <w:rPr>
                <w:rFonts w:ascii="Times New Roman" w:hAnsi="Times New Roman"/>
                <w:color w:val="000104"/>
                <w:spacing w:val="-3"/>
                <w:sz w:val="24"/>
              </w:rPr>
              <w:t> </w:t>
            </w:r>
            <w:r>
              <w:rPr>
                <w:rFonts w:ascii="Times New Roman" w:hAnsi="Times New Roman"/>
                <w:color w:val="000104"/>
                <w:sz w:val="24"/>
              </w:rPr>
              <w:t>casilla esperada es 8,6.</w:t>
            </w:r>
          </w:p>
        </w:tc>
      </w:tr>
    </w:tbl>
    <w:p>
      <w:pPr>
        <w:pStyle w:val="BodyText"/>
        <w:spacing w:before="236"/>
        <w:rPr>
          <w:i/>
        </w:rPr>
      </w:pPr>
    </w:p>
    <w:p>
      <w:pPr>
        <w:pStyle w:val="BodyText"/>
        <w:ind w:left="863"/>
      </w:pPr>
      <w:r>
        <w:rPr>
          <w:i/>
        </w:rPr>
        <w:t>Nota</w:t>
      </w:r>
      <w:r>
        <w:rPr/>
        <w:t>.</w:t>
      </w:r>
      <w:r>
        <w:rPr>
          <w:spacing w:val="-1"/>
        </w:rPr>
        <w:t> </w:t>
      </w:r>
      <w:r>
        <w:rPr/>
        <w:t>Diseño </w:t>
      </w:r>
      <w:r>
        <w:rPr>
          <w:spacing w:val="-2"/>
        </w:rPr>
        <w:t>propio.</w:t>
      </w:r>
    </w:p>
    <w:p>
      <w:pPr>
        <w:pStyle w:val="ListParagraph"/>
        <w:numPr>
          <w:ilvl w:val="0"/>
          <w:numId w:val="19"/>
        </w:numPr>
        <w:tabs>
          <w:tab w:pos="850" w:val="left" w:leader="none"/>
        </w:tabs>
        <w:spacing w:line="240" w:lineRule="auto" w:before="275" w:after="0"/>
        <w:ind w:left="850" w:right="0" w:hanging="359"/>
        <w:jc w:val="both"/>
        <w:rPr>
          <w:sz w:val="24"/>
        </w:rPr>
      </w:pPr>
      <w:r>
        <w:rPr>
          <w:sz w:val="24"/>
        </w:rPr>
        <w:t>P-</w:t>
      </w:r>
      <w:r>
        <w:rPr>
          <w:spacing w:val="-2"/>
          <w:sz w:val="24"/>
        </w:rPr>
        <w:t>valor</w:t>
      </w:r>
    </w:p>
    <w:p>
      <w:pPr>
        <w:pStyle w:val="BodyText"/>
        <w:spacing w:line="480" w:lineRule="auto" w:before="275"/>
        <w:ind w:left="863" w:right="3968"/>
        <w:jc w:val="both"/>
      </w:pPr>
      <w:r>
        <w:rPr/>
        <w:t>Si</w:t>
      </w:r>
      <w:r>
        <w:rPr>
          <w:spacing w:val="-4"/>
        </w:rPr>
        <w:t> </w:t>
      </w:r>
      <w:r>
        <w:rPr/>
        <w:t>la</w:t>
      </w:r>
      <w:r>
        <w:rPr>
          <w:spacing w:val="-4"/>
        </w:rPr>
        <w:t> </w:t>
      </w:r>
      <w:r>
        <w:rPr/>
        <w:t>significancia</w:t>
      </w:r>
      <w:r>
        <w:rPr>
          <w:spacing w:val="-4"/>
        </w:rPr>
        <w:t> </w:t>
      </w:r>
      <w:r>
        <w:rPr/>
        <w:t>es</w:t>
      </w:r>
      <w:r>
        <w:rPr>
          <w:spacing w:val="-2"/>
        </w:rPr>
        <w:t> </w:t>
      </w:r>
      <w:r>
        <w:rPr/>
        <w:t>superior</w:t>
      </w:r>
      <w:r>
        <w:rPr>
          <w:spacing w:val="-4"/>
        </w:rPr>
        <w:t> </w:t>
      </w:r>
      <w:r>
        <w:rPr/>
        <w:t>a</w:t>
      </w:r>
      <w:r>
        <w:rPr>
          <w:spacing w:val="-5"/>
        </w:rPr>
        <w:t> </w:t>
      </w:r>
      <w:r>
        <w:rPr/>
        <w:t>alfa</w:t>
      </w:r>
      <w:r>
        <w:rPr>
          <w:spacing w:val="-4"/>
        </w:rPr>
        <w:t> </w:t>
      </w:r>
      <w:r>
        <w:rPr/>
        <w:t>se</w:t>
      </w:r>
      <w:r>
        <w:rPr>
          <w:spacing w:val="-3"/>
        </w:rPr>
        <w:t> </w:t>
      </w:r>
      <w:r>
        <w:rPr/>
        <w:t>acepta</w:t>
      </w:r>
      <w:r>
        <w:rPr>
          <w:spacing w:val="-4"/>
        </w:rPr>
        <w:t> </w:t>
      </w:r>
      <w:r>
        <w:rPr/>
        <w:t>la</w:t>
      </w:r>
      <w:r>
        <w:rPr>
          <w:spacing w:val="-4"/>
        </w:rPr>
        <w:t> </w:t>
      </w:r>
      <w:r>
        <w:rPr/>
        <w:t>(H0) Si la significancia es inferior a alfa se acepta la (H1)</w:t>
      </w:r>
    </w:p>
    <w:p>
      <w:pPr>
        <w:pStyle w:val="ListParagraph"/>
        <w:numPr>
          <w:ilvl w:val="0"/>
          <w:numId w:val="19"/>
        </w:numPr>
        <w:tabs>
          <w:tab w:pos="850" w:val="left" w:leader="none"/>
        </w:tabs>
        <w:spacing w:line="240" w:lineRule="auto" w:before="2" w:after="0"/>
        <w:ind w:left="850" w:right="0" w:hanging="359"/>
        <w:jc w:val="both"/>
        <w:rPr>
          <w:sz w:val="24"/>
        </w:rPr>
      </w:pPr>
      <w:r>
        <w:rPr>
          <w:spacing w:val="-2"/>
          <w:sz w:val="24"/>
        </w:rPr>
        <w:t>Decisión</w:t>
      </w:r>
    </w:p>
    <w:p>
      <w:pPr>
        <w:pStyle w:val="BodyText"/>
        <w:spacing w:line="480" w:lineRule="auto" w:before="275"/>
        <w:ind w:left="143" w:right="987" w:firstLine="719"/>
        <w:jc w:val="both"/>
      </w:pPr>
      <w:r>
        <w:rPr/>
        <w:t>La tabla 4 presenta una significancia de 0,000, indicando un resultado tiene un gran valor</w:t>
      </w:r>
      <w:r>
        <w:rPr>
          <w:spacing w:val="-3"/>
        </w:rPr>
        <w:t> </w:t>
      </w:r>
      <w:r>
        <w:rPr/>
        <w:t>simbólico.</w:t>
      </w:r>
      <w:r>
        <w:rPr>
          <w:spacing w:val="-3"/>
        </w:rPr>
        <w:t> </w:t>
      </w:r>
      <w:r>
        <w:rPr/>
        <w:t>En</w:t>
      </w:r>
      <w:r>
        <w:rPr>
          <w:spacing w:val="-1"/>
        </w:rPr>
        <w:t> </w:t>
      </w:r>
      <w:r>
        <w:rPr/>
        <w:t>consecuencia,</w:t>
      </w:r>
      <w:r>
        <w:rPr>
          <w:spacing w:val="-3"/>
        </w:rPr>
        <w:t> </w:t>
      </w:r>
      <w:r>
        <w:rPr/>
        <w:t>se</w:t>
      </w:r>
      <w:r>
        <w:rPr>
          <w:spacing w:val="-3"/>
        </w:rPr>
        <w:t> </w:t>
      </w:r>
      <w:r>
        <w:rPr/>
        <w:t>aprueba</w:t>
      </w:r>
      <w:r>
        <w:rPr>
          <w:spacing w:val="-5"/>
        </w:rPr>
        <w:t> </w:t>
      </w:r>
      <w:r>
        <w:rPr/>
        <w:t>la</w:t>
      </w:r>
      <w:r>
        <w:rPr>
          <w:spacing w:val="-2"/>
        </w:rPr>
        <w:t> </w:t>
      </w:r>
      <w:r>
        <w:rPr/>
        <w:t>idea</w:t>
      </w:r>
      <w:r>
        <w:rPr>
          <w:spacing w:val="-2"/>
        </w:rPr>
        <w:t> </w:t>
      </w:r>
      <w:r>
        <w:rPr/>
        <w:t>de</w:t>
      </w:r>
      <w:r>
        <w:rPr>
          <w:spacing w:val="-4"/>
        </w:rPr>
        <w:t> </w:t>
      </w:r>
      <w:r>
        <w:rPr/>
        <w:t>H1,</w:t>
      </w:r>
      <w:r>
        <w:rPr>
          <w:spacing w:val="-3"/>
        </w:rPr>
        <w:t> </w:t>
      </w:r>
      <w:r>
        <w:rPr/>
        <w:t>confirmando</w:t>
      </w:r>
      <w:r>
        <w:rPr>
          <w:spacing w:val="-3"/>
        </w:rPr>
        <w:t> </w:t>
      </w:r>
      <w:r>
        <w:rPr/>
        <w:t>que</w:t>
      </w:r>
      <w:r>
        <w:rPr>
          <w:spacing w:val="-2"/>
        </w:rPr>
        <w:t> </w:t>
      </w:r>
      <w:r>
        <w:rPr/>
        <w:t>la</w:t>
      </w:r>
      <w:r>
        <w:rPr>
          <w:spacing w:val="-3"/>
        </w:rPr>
        <w:t> </w:t>
      </w:r>
      <w:r>
        <w:rPr/>
        <w:t>estabilidad económica influye significativamente en la percepción económica de los comerciantes del centro de abastos las Mercedes de Juliaca, 2023.</w:t>
      </w:r>
    </w:p>
    <w:p>
      <w:pPr>
        <w:pStyle w:val="BodyText"/>
        <w:spacing w:after="0" w:line="480" w:lineRule="auto"/>
        <w:jc w:val="both"/>
        <w:sectPr>
          <w:pgSz w:w="11910" w:h="16840"/>
          <w:pgMar w:header="0" w:footer="693" w:top="1340" w:bottom="880" w:left="1559" w:right="425"/>
        </w:sectPr>
      </w:pPr>
    </w:p>
    <w:p>
      <w:pPr>
        <w:pStyle w:val="Heading3"/>
        <w:numPr>
          <w:ilvl w:val="0"/>
          <w:numId w:val="19"/>
        </w:numPr>
        <w:tabs>
          <w:tab w:pos="851" w:val="left" w:leader="none"/>
        </w:tabs>
        <w:spacing w:line="240" w:lineRule="auto" w:before="67" w:after="0"/>
        <w:ind w:left="851" w:right="0" w:hanging="360"/>
        <w:jc w:val="left"/>
      </w:pPr>
      <w:r>
        <w:rPr/>
        <w:t>Planteamiento</w:t>
      </w:r>
      <w:r>
        <w:rPr>
          <w:spacing w:val="-4"/>
        </w:rPr>
        <w:t> </w:t>
      </w:r>
      <w:r>
        <w:rPr/>
        <w:t>de</w:t>
      </w:r>
      <w:r>
        <w:rPr>
          <w:spacing w:val="-2"/>
        </w:rPr>
        <w:t> </w:t>
      </w:r>
      <w:r>
        <w:rPr>
          <w:spacing w:val="-5"/>
        </w:rPr>
        <w:t>HE2</w:t>
      </w:r>
    </w:p>
    <w:p>
      <w:pPr>
        <w:pStyle w:val="BodyText"/>
        <w:spacing w:line="480" w:lineRule="auto" w:before="275"/>
        <w:ind w:left="1277" w:right="986" w:hanging="415"/>
      </w:pPr>
      <w:r>
        <w:rPr/>
        <w:t>H0:</w:t>
      </w:r>
      <w:r>
        <w:rPr>
          <w:spacing w:val="-15"/>
        </w:rPr>
        <w:t> </w:t>
      </w:r>
      <w:r>
        <w:rPr/>
        <w:t>La</w:t>
      </w:r>
      <w:r>
        <w:rPr>
          <w:spacing w:val="-16"/>
        </w:rPr>
        <w:t> </w:t>
      </w:r>
      <w:r>
        <w:rPr/>
        <w:t>liquidez</w:t>
      </w:r>
      <w:r>
        <w:rPr>
          <w:spacing w:val="-16"/>
        </w:rPr>
        <w:t> </w:t>
      </w:r>
      <w:r>
        <w:rPr/>
        <w:t>económica</w:t>
      </w:r>
      <w:r>
        <w:rPr>
          <w:spacing w:val="-15"/>
        </w:rPr>
        <w:t> </w:t>
      </w:r>
      <w:r>
        <w:rPr/>
        <w:t>no</w:t>
      </w:r>
      <w:r>
        <w:rPr>
          <w:spacing w:val="-15"/>
        </w:rPr>
        <w:t> </w:t>
      </w:r>
      <w:r>
        <w:rPr/>
        <w:t>influye</w:t>
      </w:r>
      <w:r>
        <w:rPr>
          <w:spacing w:val="-15"/>
        </w:rPr>
        <w:t> </w:t>
      </w:r>
      <w:r>
        <w:rPr/>
        <w:t>significativamente</w:t>
      </w:r>
      <w:r>
        <w:rPr>
          <w:spacing w:val="-15"/>
        </w:rPr>
        <w:t> </w:t>
      </w:r>
      <w:r>
        <w:rPr/>
        <w:t>en</w:t>
      </w:r>
      <w:r>
        <w:rPr>
          <w:spacing w:val="-15"/>
        </w:rPr>
        <w:t> </w:t>
      </w:r>
      <w:r>
        <w:rPr/>
        <w:t>la</w:t>
      </w:r>
      <w:r>
        <w:rPr>
          <w:spacing w:val="-16"/>
        </w:rPr>
        <w:t> </w:t>
      </w:r>
      <w:r>
        <w:rPr/>
        <w:t>percepción</w:t>
      </w:r>
      <w:r>
        <w:rPr>
          <w:spacing w:val="-15"/>
        </w:rPr>
        <w:t> </w:t>
      </w:r>
      <w:r>
        <w:rPr/>
        <w:t>económica de los comerciantes del centro de abastos las Mercedes de Juliaca, 2023.</w:t>
      </w:r>
    </w:p>
    <w:p>
      <w:pPr>
        <w:pStyle w:val="BodyText"/>
        <w:spacing w:line="480" w:lineRule="auto" w:before="1"/>
        <w:ind w:left="1277" w:right="947" w:hanging="415"/>
      </w:pPr>
      <w:r>
        <w:rPr/>
        <w:t>H1: La liquidez económica influye significativamente en la percepción económica de los comerciantes del centro de abastos las Mercedes de Juliaca, 2023.</w:t>
      </w:r>
    </w:p>
    <w:p>
      <w:pPr>
        <w:pStyle w:val="ListParagraph"/>
        <w:numPr>
          <w:ilvl w:val="0"/>
          <w:numId w:val="19"/>
        </w:numPr>
        <w:tabs>
          <w:tab w:pos="851" w:val="left" w:leader="none"/>
        </w:tabs>
        <w:spacing w:line="293" w:lineRule="exact" w:before="0" w:after="0"/>
        <w:ind w:left="851" w:right="0" w:hanging="360"/>
        <w:jc w:val="left"/>
        <w:rPr>
          <w:sz w:val="24"/>
        </w:rPr>
      </w:pPr>
      <w:r>
        <w:rPr>
          <w:spacing w:val="-2"/>
          <w:sz w:val="24"/>
        </w:rPr>
        <w:t>Estadística</w:t>
      </w:r>
    </w:p>
    <w:p>
      <w:pPr>
        <w:pStyle w:val="Heading3"/>
        <w:spacing w:before="275"/>
        <w:ind w:left="863"/>
      </w:pPr>
      <w:bookmarkStart w:name="_bookmark64" w:id="65"/>
      <w:bookmarkEnd w:id="65"/>
      <w:r>
        <w:rPr>
          <w:b w:val="0"/>
        </w:rPr>
      </w:r>
      <w:r>
        <w:rPr/>
        <w:t>Tabla </w:t>
      </w:r>
      <w:r>
        <w:rPr>
          <w:spacing w:val="-10"/>
        </w:rPr>
        <w:t>5</w:t>
      </w:r>
    </w:p>
    <w:p>
      <w:pPr>
        <w:pStyle w:val="BodyText"/>
        <w:rPr>
          <w:b/>
        </w:rPr>
      </w:pPr>
    </w:p>
    <w:p>
      <w:pPr>
        <w:spacing w:before="0"/>
        <w:ind w:left="863" w:right="0" w:firstLine="0"/>
        <w:jc w:val="left"/>
        <w:rPr>
          <w:i/>
          <w:sz w:val="24"/>
        </w:rPr>
      </w:pPr>
      <w:bookmarkStart w:name="_bookmark65" w:id="66"/>
      <w:bookmarkEnd w:id="66"/>
      <w:r>
        <w:rPr/>
      </w:r>
      <w:r>
        <w:rPr>
          <w:i/>
          <w:sz w:val="24"/>
        </w:rPr>
        <w:t>Prueba</w:t>
      </w:r>
      <w:r>
        <w:rPr>
          <w:i/>
          <w:spacing w:val="-3"/>
          <w:sz w:val="24"/>
        </w:rPr>
        <w:t> </w:t>
      </w:r>
      <w:r>
        <w:rPr>
          <w:i/>
          <w:sz w:val="24"/>
        </w:rPr>
        <w:t>de</w:t>
      </w:r>
      <w:r>
        <w:rPr>
          <w:i/>
          <w:spacing w:val="-1"/>
          <w:sz w:val="24"/>
        </w:rPr>
        <w:t> </w:t>
      </w:r>
      <w:r>
        <w:rPr>
          <w:i/>
          <w:sz w:val="24"/>
        </w:rPr>
        <w:t>Chi</w:t>
      </w:r>
      <w:r>
        <w:rPr>
          <w:i/>
          <w:spacing w:val="-1"/>
          <w:sz w:val="24"/>
        </w:rPr>
        <w:t> </w:t>
      </w:r>
      <w:r>
        <w:rPr>
          <w:i/>
          <w:sz w:val="24"/>
        </w:rPr>
        <w:t>Cuadrado de la </w:t>
      </w:r>
      <w:r>
        <w:rPr>
          <w:i/>
          <w:spacing w:val="-5"/>
          <w:sz w:val="24"/>
        </w:rPr>
        <w:t>HE2</w:t>
      </w:r>
    </w:p>
    <w:p>
      <w:pPr>
        <w:pStyle w:val="BodyText"/>
        <w:spacing w:before="46"/>
        <w:rPr>
          <w:i/>
          <w:sz w:val="20"/>
        </w:rPr>
      </w:pPr>
    </w:p>
    <w:tbl>
      <w:tblPr>
        <w:tblW w:w="0" w:type="auto"/>
        <w:jc w:val="left"/>
        <w:tblInd w:w="1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54"/>
        <w:gridCol w:w="7441"/>
      </w:tblGrid>
      <w:tr>
        <w:trPr>
          <w:trHeight w:val="441" w:hRule="atLeast"/>
        </w:trPr>
        <w:tc>
          <w:tcPr>
            <w:tcW w:w="9095" w:type="dxa"/>
            <w:gridSpan w:val="2"/>
            <w:tcBorders>
              <w:top w:val="single" w:sz="4" w:space="0" w:color="000000"/>
              <w:bottom w:val="single" w:sz="8" w:space="0" w:color="152935"/>
            </w:tcBorders>
          </w:tcPr>
          <w:p>
            <w:pPr>
              <w:pStyle w:val="TableParagraph"/>
              <w:spacing w:line="256" w:lineRule="exact" w:before="166"/>
              <w:ind w:left="4232"/>
              <w:rPr>
                <w:rFonts w:ascii="Times New Roman"/>
                <w:sz w:val="24"/>
              </w:rPr>
            </w:pPr>
            <w:r>
              <w:rPr>
                <w:rFonts w:ascii="Times New Roman"/>
                <w:sz w:val="24"/>
              </w:rPr>
              <w:t>LIQUIDEZ</w:t>
            </w:r>
            <w:r>
              <w:rPr>
                <w:rFonts w:ascii="Times New Roman"/>
                <w:spacing w:val="-1"/>
                <w:sz w:val="24"/>
              </w:rPr>
              <w:t> </w:t>
            </w:r>
            <w:r>
              <w:rPr>
                <w:rFonts w:ascii="Times New Roman"/>
                <w:spacing w:val="-2"/>
                <w:sz w:val="24"/>
              </w:rPr>
              <w:t>(Agrupada)</w:t>
            </w:r>
          </w:p>
        </w:tc>
      </w:tr>
      <w:tr>
        <w:trPr>
          <w:trHeight w:val="408" w:hRule="atLeast"/>
        </w:trPr>
        <w:tc>
          <w:tcPr>
            <w:tcW w:w="1654" w:type="dxa"/>
            <w:tcBorders>
              <w:top w:val="single" w:sz="8" w:space="0" w:color="152935"/>
            </w:tcBorders>
          </w:tcPr>
          <w:p>
            <w:pPr>
              <w:pStyle w:val="TableParagraph"/>
              <w:spacing w:before="44"/>
              <w:ind w:left="60"/>
              <w:rPr>
                <w:rFonts w:ascii="Times New Roman"/>
                <w:sz w:val="24"/>
              </w:rPr>
            </w:pPr>
            <w:r>
              <w:rPr>
                <w:rFonts w:ascii="Times New Roman"/>
                <w:spacing w:val="-2"/>
                <w:sz w:val="24"/>
              </w:rPr>
              <w:t>Chi-cuadrado</w:t>
            </w:r>
          </w:p>
        </w:tc>
        <w:tc>
          <w:tcPr>
            <w:tcW w:w="7441" w:type="dxa"/>
            <w:tcBorders>
              <w:top w:val="single" w:sz="8" w:space="0" w:color="152935"/>
            </w:tcBorders>
            <w:shd w:val="clear" w:color="auto" w:fill="F8F8FA"/>
          </w:tcPr>
          <w:p>
            <w:pPr>
              <w:pStyle w:val="TableParagraph"/>
              <w:spacing w:before="44"/>
              <w:ind w:right="56"/>
              <w:jc w:val="right"/>
              <w:rPr>
                <w:rFonts w:ascii="Times New Roman"/>
                <w:sz w:val="24"/>
              </w:rPr>
            </w:pPr>
            <w:r>
              <w:rPr>
                <w:rFonts w:ascii="Times New Roman"/>
                <w:color w:val="000104"/>
                <w:spacing w:val="-2"/>
                <w:sz w:val="24"/>
              </w:rPr>
              <w:t>7,231</w:t>
            </w:r>
            <w:r>
              <w:rPr>
                <w:rFonts w:ascii="Times New Roman"/>
                <w:color w:val="000104"/>
                <w:spacing w:val="-2"/>
                <w:sz w:val="24"/>
                <w:vertAlign w:val="superscript"/>
              </w:rPr>
              <w:t>a</w:t>
            </w:r>
          </w:p>
        </w:tc>
      </w:tr>
      <w:tr>
        <w:trPr>
          <w:trHeight w:val="442" w:hRule="atLeast"/>
        </w:trPr>
        <w:tc>
          <w:tcPr>
            <w:tcW w:w="1654" w:type="dxa"/>
          </w:tcPr>
          <w:p>
            <w:pPr>
              <w:pStyle w:val="TableParagraph"/>
              <w:spacing w:before="78"/>
              <w:ind w:left="60"/>
              <w:rPr>
                <w:rFonts w:ascii="Times New Roman"/>
                <w:sz w:val="24"/>
              </w:rPr>
            </w:pPr>
            <w:r>
              <w:rPr>
                <w:rFonts w:ascii="Times New Roman"/>
                <w:spacing w:val="-5"/>
                <w:sz w:val="24"/>
              </w:rPr>
              <w:t>gl</w:t>
            </w:r>
          </w:p>
        </w:tc>
        <w:tc>
          <w:tcPr>
            <w:tcW w:w="7441" w:type="dxa"/>
            <w:shd w:val="clear" w:color="auto" w:fill="F8F8FA"/>
          </w:tcPr>
          <w:p>
            <w:pPr>
              <w:pStyle w:val="TableParagraph"/>
              <w:spacing w:before="78"/>
              <w:ind w:right="56"/>
              <w:jc w:val="right"/>
              <w:rPr>
                <w:rFonts w:ascii="Times New Roman"/>
                <w:sz w:val="24"/>
              </w:rPr>
            </w:pPr>
            <w:r>
              <w:rPr>
                <w:rFonts w:ascii="Times New Roman"/>
                <w:color w:val="000104"/>
                <w:spacing w:val="-5"/>
                <w:sz w:val="24"/>
              </w:rPr>
              <w:t>174</w:t>
            </w:r>
          </w:p>
        </w:tc>
      </w:tr>
      <w:tr>
        <w:trPr>
          <w:trHeight w:val="475" w:hRule="atLeast"/>
        </w:trPr>
        <w:tc>
          <w:tcPr>
            <w:tcW w:w="1654" w:type="dxa"/>
            <w:tcBorders>
              <w:bottom w:val="single" w:sz="8" w:space="0" w:color="152935"/>
            </w:tcBorders>
          </w:tcPr>
          <w:p>
            <w:pPr>
              <w:pStyle w:val="TableParagraph"/>
              <w:spacing w:before="78"/>
              <w:ind w:left="60"/>
              <w:rPr>
                <w:rFonts w:ascii="Times New Roman"/>
                <w:sz w:val="24"/>
              </w:rPr>
            </w:pPr>
            <w:r>
              <w:rPr>
                <w:rFonts w:ascii="Times New Roman"/>
                <w:sz w:val="24"/>
              </w:rPr>
              <w:t>Sig. </w:t>
            </w:r>
            <w:r>
              <w:rPr>
                <w:rFonts w:ascii="Times New Roman"/>
                <w:spacing w:val="-2"/>
                <w:sz w:val="24"/>
              </w:rPr>
              <w:t>asin.</w:t>
            </w:r>
          </w:p>
        </w:tc>
        <w:tc>
          <w:tcPr>
            <w:tcW w:w="7441" w:type="dxa"/>
            <w:tcBorders>
              <w:bottom w:val="single" w:sz="8" w:space="0" w:color="152935"/>
            </w:tcBorders>
            <w:shd w:val="clear" w:color="auto" w:fill="F8F8FA"/>
          </w:tcPr>
          <w:p>
            <w:pPr>
              <w:pStyle w:val="TableParagraph"/>
              <w:spacing w:before="78"/>
              <w:ind w:right="56"/>
              <w:jc w:val="right"/>
              <w:rPr>
                <w:rFonts w:ascii="Times New Roman"/>
                <w:sz w:val="24"/>
              </w:rPr>
            </w:pPr>
            <w:r>
              <w:rPr>
                <w:rFonts w:ascii="Times New Roman"/>
                <w:color w:val="000104"/>
                <w:spacing w:val="-4"/>
                <w:sz w:val="24"/>
              </w:rPr>
              <w:t>,000</w:t>
            </w:r>
          </w:p>
        </w:tc>
      </w:tr>
      <w:tr>
        <w:trPr>
          <w:trHeight w:val="639" w:hRule="atLeast"/>
        </w:trPr>
        <w:tc>
          <w:tcPr>
            <w:tcW w:w="9095" w:type="dxa"/>
            <w:gridSpan w:val="2"/>
            <w:tcBorders>
              <w:top w:val="single" w:sz="8" w:space="0" w:color="152935"/>
            </w:tcBorders>
          </w:tcPr>
          <w:p>
            <w:pPr>
              <w:pStyle w:val="TableParagraph"/>
              <w:spacing w:line="320" w:lineRule="atLeast"/>
              <w:ind w:left="60"/>
              <w:rPr>
                <w:rFonts w:ascii="Times New Roman" w:hAnsi="Times New Roman"/>
                <w:sz w:val="24"/>
              </w:rPr>
            </w:pPr>
            <w:r>
              <w:rPr>
                <w:rFonts w:ascii="Times New Roman" w:hAnsi="Times New Roman"/>
                <w:color w:val="000104"/>
                <w:sz w:val="24"/>
              </w:rPr>
              <w:t>a.</w:t>
            </w:r>
            <w:r>
              <w:rPr>
                <w:rFonts w:ascii="Times New Roman" w:hAnsi="Times New Roman"/>
                <w:color w:val="000104"/>
                <w:spacing w:val="-3"/>
                <w:sz w:val="24"/>
              </w:rPr>
              <w:t> </w:t>
            </w:r>
            <w:r>
              <w:rPr>
                <w:rFonts w:ascii="Times New Roman" w:hAnsi="Times New Roman"/>
                <w:color w:val="000104"/>
                <w:sz w:val="24"/>
              </w:rPr>
              <w:t>0</w:t>
            </w:r>
            <w:r>
              <w:rPr>
                <w:rFonts w:ascii="Times New Roman" w:hAnsi="Times New Roman"/>
                <w:color w:val="000104"/>
                <w:spacing w:val="-4"/>
                <w:sz w:val="24"/>
              </w:rPr>
              <w:t> </w:t>
            </w:r>
            <w:r>
              <w:rPr>
                <w:rFonts w:ascii="Times New Roman" w:hAnsi="Times New Roman"/>
                <w:color w:val="000104"/>
                <w:sz w:val="24"/>
              </w:rPr>
              <w:t>casillas</w:t>
            </w:r>
            <w:r>
              <w:rPr>
                <w:rFonts w:ascii="Times New Roman" w:hAnsi="Times New Roman"/>
                <w:color w:val="000104"/>
                <w:spacing w:val="-3"/>
                <w:sz w:val="24"/>
              </w:rPr>
              <w:t> </w:t>
            </w:r>
            <w:r>
              <w:rPr>
                <w:rFonts w:ascii="Times New Roman" w:hAnsi="Times New Roman"/>
                <w:color w:val="000104"/>
                <w:sz w:val="24"/>
              </w:rPr>
              <w:t>(0,0%)</w:t>
            </w:r>
            <w:r>
              <w:rPr>
                <w:rFonts w:ascii="Times New Roman" w:hAnsi="Times New Roman"/>
                <w:color w:val="000104"/>
                <w:spacing w:val="-3"/>
                <w:sz w:val="24"/>
              </w:rPr>
              <w:t> </w:t>
            </w:r>
            <w:r>
              <w:rPr>
                <w:rFonts w:ascii="Times New Roman" w:hAnsi="Times New Roman"/>
                <w:color w:val="000104"/>
                <w:sz w:val="24"/>
              </w:rPr>
              <w:t>han</w:t>
            </w:r>
            <w:r>
              <w:rPr>
                <w:rFonts w:ascii="Times New Roman" w:hAnsi="Times New Roman"/>
                <w:color w:val="000104"/>
                <w:spacing w:val="-3"/>
                <w:sz w:val="24"/>
              </w:rPr>
              <w:t> </w:t>
            </w:r>
            <w:r>
              <w:rPr>
                <w:rFonts w:ascii="Times New Roman" w:hAnsi="Times New Roman"/>
                <w:color w:val="000104"/>
                <w:sz w:val="24"/>
              </w:rPr>
              <w:t>esperado</w:t>
            </w:r>
            <w:r>
              <w:rPr>
                <w:rFonts w:ascii="Times New Roman" w:hAnsi="Times New Roman"/>
                <w:color w:val="000104"/>
                <w:spacing w:val="-3"/>
                <w:sz w:val="24"/>
              </w:rPr>
              <w:t> </w:t>
            </w:r>
            <w:r>
              <w:rPr>
                <w:rFonts w:ascii="Times New Roman" w:hAnsi="Times New Roman"/>
                <w:color w:val="000104"/>
                <w:sz w:val="24"/>
              </w:rPr>
              <w:t>frecuencias</w:t>
            </w:r>
            <w:r>
              <w:rPr>
                <w:rFonts w:ascii="Times New Roman" w:hAnsi="Times New Roman"/>
                <w:color w:val="000104"/>
                <w:spacing w:val="-3"/>
                <w:sz w:val="24"/>
              </w:rPr>
              <w:t> </w:t>
            </w:r>
            <w:r>
              <w:rPr>
                <w:rFonts w:ascii="Times New Roman" w:hAnsi="Times New Roman"/>
                <w:color w:val="000104"/>
                <w:sz w:val="24"/>
              </w:rPr>
              <w:t>menores</w:t>
            </w:r>
            <w:r>
              <w:rPr>
                <w:rFonts w:ascii="Times New Roman" w:hAnsi="Times New Roman"/>
                <w:color w:val="000104"/>
                <w:spacing w:val="-3"/>
                <w:sz w:val="24"/>
              </w:rPr>
              <w:t> </w:t>
            </w:r>
            <w:r>
              <w:rPr>
                <w:rFonts w:ascii="Times New Roman" w:hAnsi="Times New Roman"/>
                <w:color w:val="000104"/>
                <w:sz w:val="24"/>
              </w:rPr>
              <w:t>que</w:t>
            </w:r>
            <w:r>
              <w:rPr>
                <w:rFonts w:ascii="Times New Roman" w:hAnsi="Times New Roman"/>
                <w:color w:val="000104"/>
                <w:spacing w:val="-3"/>
                <w:sz w:val="24"/>
              </w:rPr>
              <w:t> </w:t>
            </w:r>
            <w:r>
              <w:rPr>
                <w:rFonts w:ascii="Times New Roman" w:hAnsi="Times New Roman"/>
                <w:color w:val="000104"/>
                <w:sz w:val="24"/>
              </w:rPr>
              <w:t>5.</w:t>
            </w:r>
            <w:r>
              <w:rPr>
                <w:rFonts w:ascii="Times New Roman" w:hAnsi="Times New Roman"/>
                <w:color w:val="000104"/>
                <w:spacing w:val="-3"/>
                <w:sz w:val="24"/>
              </w:rPr>
              <w:t> </w:t>
            </w:r>
            <w:r>
              <w:rPr>
                <w:rFonts w:ascii="Times New Roman" w:hAnsi="Times New Roman"/>
                <w:color w:val="000104"/>
                <w:sz w:val="24"/>
              </w:rPr>
              <w:t>La</w:t>
            </w:r>
            <w:r>
              <w:rPr>
                <w:rFonts w:ascii="Times New Roman" w:hAnsi="Times New Roman"/>
                <w:color w:val="000104"/>
                <w:spacing w:val="-3"/>
                <w:sz w:val="24"/>
              </w:rPr>
              <w:t> </w:t>
            </w:r>
            <w:r>
              <w:rPr>
                <w:rFonts w:ascii="Times New Roman" w:hAnsi="Times New Roman"/>
                <w:color w:val="000104"/>
                <w:sz w:val="24"/>
              </w:rPr>
              <w:t>frecuencia</w:t>
            </w:r>
            <w:r>
              <w:rPr>
                <w:rFonts w:ascii="Times New Roman" w:hAnsi="Times New Roman"/>
                <w:color w:val="000104"/>
                <w:spacing w:val="-5"/>
                <w:sz w:val="24"/>
              </w:rPr>
              <w:t> </w:t>
            </w:r>
            <w:r>
              <w:rPr>
                <w:rFonts w:ascii="Times New Roman" w:hAnsi="Times New Roman"/>
                <w:color w:val="000104"/>
                <w:sz w:val="24"/>
              </w:rPr>
              <w:t>mínima</w:t>
            </w:r>
            <w:r>
              <w:rPr>
                <w:rFonts w:ascii="Times New Roman" w:hAnsi="Times New Roman"/>
                <w:color w:val="000104"/>
                <w:spacing w:val="-3"/>
                <w:sz w:val="24"/>
              </w:rPr>
              <w:t> </w:t>
            </w:r>
            <w:r>
              <w:rPr>
                <w:rFonts w:ascii="Times New Roman" w:hAnsi="Times New Roman"/>
                <w:color w:val="000104"/>
                <w:sz w:val="24"/>
              </w:rPr>
              <w:t>de</w:t>
            </w:r>
            <w:r>
              <w:rPr>
                <w:rFonts w:ascii="Times New Roman" w:hAnsi="Times New Roman"/>
                <w:color w:val="000104"/>
                <w:spacing w:val="-3"/>
                <w:sz w:val="24"/>
              </w:rPr>
              <w:t> </w:t>
            </w:r>
            <w:r>
              <w:rPr>
                <w:rFonts w:ascii="Times New Roman" w:hAnsi="Times New Roman"/>
                <w:color w:val="000104"/>
                <w:sz w:val="24"/>
              </w:rPr>
              <w:t>casilla esperada es 8,6.</w:t>
            </w:r>
          </w:p>
        </w:tc>
      </w:tr>
    </w:tbl>
    <w:p>
      <w:pPr>
        <w:pStyle w:val="BodyText"/>
        <w:spacing w:before="237"/>
        <w:rPr>
          <w:i/>
        </w:rPr>
      </w:pPr>
    </w:p>
    <w:p>
      <w:pPr>
        <w:pStyle w:val="BodyText"/>
        <w:ind w:left="863"/>
      </w:pPr>
      <w:r>
        <w:rPr>
          <w:i/>
        </w:rPr>
        <w:t>Nota</w:t>
      </w:r>
      <w:r>
        <w:rPr/>
        <w:t>.</w:t>
      </w:r>
      <w:r>
        <w:rPr>
          <w:spacing w:val="-1"/>
        </w:rPr>
        <w:t> </w:t>
      </w:r>
      <w:r>
        <w:rPr/>
        <w:t>Diseño </w:t>
      </w:r>
      <w:r>
        <w:rPr>
          <w:spacing w:val="-2"/>
        </w:rPr>
        <w:t>propio.</w:t>
      </w:r>
    </w:p>
    <w:p>
      <w:pPr>
        <w:pStyle w:val="BodyText"/>
        <w:spacing w:before="1"/>
      </w:pPr>
    </w:p>
    <w:p>
      <w:pPr>
        <w:pStyle w:val="ListParagraph"/>
        <w:numPr>
          <w:ilvl w:val="0"/>
          <w:numId w:val="19"/>
        </w:numPr>
        <w:tabs>
          <w:tab w:pos="850" w:val="left" w:leader="none"/>
        </w:tabs>
        <w:spacing w:line="240" w:lineRule="auto" w:before="0" w:after="0"/>
        <w:ind w:left="850" w:right="0" w:hanging="359"/>
        <w:jc w:val="both"/>
        <w:rPr>
          <w:sz w:val="24"/>
        </w:rPr>
      </w:pPr>
      <w:r>
        <w:rPr>
          <w:sz w:val="24"/>
        </w:rPr>
        <w:t>P-</w:t>
      </w:r>
      <w:r>
        <w:rPr>
          <w:spacing w:val="-2"/>
          <w:sz w:val="24"/>
        </w:rPr>
        <w:t>valor</w:t>
      </w:r>
    </w:p>
    <w:p>
      <w:pPr>
        <w:pStyle w:val="BodyText"/>
        <w:spacing w:line="480" w:lineRule="auto" w:before="273"/>
        <w:ind w:left="863" w:right="3968"/>
        <w:jc w:val="both"/>
      </w:pPr>
      <w:r>
        <w:rPr/>
        <w:t>Si</w:t>
      </w:r>
      <w:r>
        <w:rPr>
          <w:spacing w:val="-4"/>
        </w:rPr>
        <w:t> </w:t>
      </w:r>
      <w:r>
        <w:rPr/>
        <w:t>la</w:t>
      </w:r>
      <w:r>
        <w:rPr>
          <w:spacing w:val="-4"/>
        </w:rPr>
        <w:t> </w:t>
      </w:r>
      <w:r>
        <w:rPr/>
        <w:t>significancia</w:t>
      </w:r>
      <w:r>
        <w:rPr>
          <w:spacing w:val="-4"/>
        </w:rPr>
        <w:t> </w:t>
      </w:r>
      <w:r>
        <w:rPr/>
        <w:t>es</w:t>
      </w:r>
      <w:r>
        <w:rPr>
          <w:spacing w:val="-2"/>
        </w:rPr>
        <w:t> </w:t>
      </w:r>
      <w:r>
        <w:rPr/>
        <w:t>superior</w:t>
      </w:r>
      <w:r>
        <w:rPr>
          <w:spacing w:val="-4"/>
        </w:rPr>
        <w:t> </w:t>
      </w:r>
      <w:r>
        <w:rPr/>
        <w:t>a</w:t>
      </w:r>
      <w:r>
        <w:rPr>
          <w:spacing w:val="-5"/>
        </w:rPr>
        <w:t> </w:t>
      </w:r>
      <w:r>
        <w:rPr/>
        <w:t>alfa</w:t>
      </w:r>
      <w:r>
        <w:rPr>
          <w:spacing w:val="-4"/>
        </w:rPr>
        <w:t> </w:t>
      </w:r>
      <w:r>
        <w:rPr/>
        <w:t>se</w:t>
      </w:r>
      <w:r>
        <w:rPr>
          <w:spacing w:val="-3"/>
        </w:rPr>
        <w:t> </w:t>
      </w:r>
      <w:r>
        <w:rPr/>
        <w:t>acepta</w:t>
      </w:r>
      <w:r>
        <w:rPr>
          <w:spacing w:val="-4"/>
        </w:rPr>
        <w:t> </w:t>
      </w:r>
      <w:r>
        <w:rPr/>
        <w:t>la</w:t>
      </w:r>
      <w:r>
        <w:rPr>
          <w:spacing w:val="-4"/>
        </w:rPr>
        <w:t> </w:t>
      </w:r>
      <w:r>
        <w:rPr/>
        <w:t>(H0) Si la significancia es inferior a alfa se acepta la (H1)</w:t>
      </w:r>
    </w:p>
    <w:p>
      <w:pPr>
        <w:pStyle w:val="ListParagraph"/>
        <w:numPr>
          <w:ilvl w:val="0"/>
          <w:numId w:val="19"/>
        </w:numPr>
        <w:tabs>
          <w:tab w:pos="850" w:val="left" w:leader="none"/>
        </w:tabs>
        <w:spacing w:line="240" w:lineRule="auto" w:before="1" w:after="0"/>
        <w:ind w:left="850" w:right="0" w:hanging="359"/>
        <w:jc w:val="both"/>
        <w:rPr>
          <w:sz w:val="24"/>
        </w:rPr>
      </w:pPr>
      <w:r>
        <w:rPr>
          <w:spacing w:val="-2"/>
          <w:sz w:val="24"/>
        </w:rPr>
        <w:t>Decisión</w:t>
      </w:r>
    </w:p>
    <w:p>
      <w:pPr>
        <w:pStyle w:val="BodyText"/>
        <w:spacing w:line="480" w:lineRule="auto" w:before="276"/>
        <w:ind w:left="285" w:right="990" w:firstLine="719"/>
        <w:jc w:val="both"/>
      </w:pPr>
      <w:r>
        <w:rPr/>
        <w:t>La tabla 5 muestra una significancia de 0,000, lo que indica que el resultado es altamente significativo. En consecuencia, se acepta la H1, que establece que la liquidez económica</w:t>
      </w:r>
      <w:r>
        <w:rPr>
          <w:spacing w:val="-3"/>
        </w:rPr>
        <w:t> </w:t>
      </w:r>
      <w:r>
        <w:rPr/>
        <w:t>influye</w:t>
      </w:r>
      <w:r>
        <w:rPr>
          <w:spacing w:val="-3"/>
        </w:rPr>
        <w:t> </w:t>
      </w:r>
      <w:r>
        <w:rPr/>
        <w:t>significativamente</w:t>
      </w:r>
      <w:r>
        <w:rPr>
          <w:spacing w:val="-2"/>
        </w:rPr>
        <w:t> </w:t>
      </w:r>
      <w:r>
        <w:rPr/>
        <w:t>en</w:t>
      </w:r>
      <w:r>
        <w:rPr>
          <w:spacing w:val="-2"/>
        </w:rPr>
        <w:t> </w:t>
      </w:r>
      <w:r>
        <w:rPr/>
        <w:t>la</w:t>
      </w:r>
      <w:r>
        <w:rPr>
          <w:spacing w:val="-2"/>
        </w:rPr>
        <w:t> </w:t>
      </w:r>
      <w:r>
        <w:rPr/>
        <w:t>percepción</w:t>
      </w:r>
      <w:r>
        <w:rPr>
          <w:spacing w:val="-3"/>
        </w:rPr>
        <w:t> </w:t>
      </w:r>
      <w:r>
        <w:rPr/>
        <w:t>económica</w:t>
      </w:r>
      <w:r>
        <w:rPr>
          <w:spacing w:val="-3"/>
        </w:rPr>
        <w:t> </w:t>
      </w:r>
      <w:r>
        <w:rPr/>
        <w:t>de</w:t>
      </w:r>
      <w:r>
        <w:rPr>
          <w:spacing w:val="-2"/>
        </w:rPr>
        <w:t> </w:t>
      </w:r>
      <w:r>
        <w:rPr/>
        <w:t>los</w:t>
      </w:r>
      <w:r>
        <w:rPr>
          <w:spacing w:val="-2"/>
        </w:rPr>
        <w:t> </w:t>
      </w:r>
      <w:r>
        <w:rPr/>
        <w:t>comerciantes</w:t>
      </w:r>
      <w:r>
        <w:rPr>
          <w:spacing w:val="-2"/>
        </w:rPr>
        <w:t> </w:t>
      </w:r>
      <w:r>
        <w:rPr>
          <w:spacing w:val="-5"/>
        </w:rPr>
        <w:t>del</w:t>
      </w:r>
    </w:p>
    <w:p>
      <w:pPr>
        <w:pStyle w:val="BodyText"/>
        <w:spacing w:after="0" w:line="480" w:lineRule="auto"/>
        <w:jc w:val="both"/>
        <w:sectPr>
          <w:headerReference w:type="default" r:id="rId53"/>
          <w:footerReference w:type="default" r:id="rId54"/>
          <w:pgSz w:w="11910" w:h="16840"/>
          <w:pgMar w:header="0" w:footer="3340" w:top="1340" w:bottom="3540" w:left="1559" w:right="425"/>
        </w:sectPr>
      </w:pPr>
    </w:p>
    <w:p>
      <w:pPr>
        <w:pStyle w:val="ListParagraph"/>
        <w:numPr>
          <w:ilvl w:val="0"/>
          <w:numId w:val="19"/>
        </w:numPr>
        <w:tabs>
          <w:tab w:pos="850" w:val="left" w:leader="none"/>
        </w:tabs>
        <w:spacing w:line="240" w:lineRule="auto" w:before="67" w:after="0"/>
        <w:ind w:left="850" w:right="0" w:hanging="359"/>
        <w:jc w:val="both"/>
        <w:rPr>
          <w:sz w:val="24"/>
        </w:rPr>
      </w:pPr>
      <w:r>
        <w:rPr>
          <w:sz w:val="24"/>
        </w:rPr>
        <w:t>Planteamiento</w:t>
      </w:r>
      <w:r>
        <w:rPr>
          <w:spacing w:val="-5"/>
          <w:sz w:val="24"/>
        </w:rPr>
        <w:t> </w:t>
      </w:r>
      <w:r>
        <w:rPr>
          <w:sz w:val="24"/>
        </w:rPr>
        <w:t>de</w:t>
      </w:r>
      <w:r>
        <w:rPr>
          <w:spacing w:val="-2"/>
          <w:sz w:val="24"/>
        </w:rPr>
        <w:t> </w:t>
      </w:r>
      <w:r>
        <w:rPr>
          <w:spacing w:val="-5"/>
          <w:sz w:val="24"/>
        </w:rPr>
        <w:t>HE3</w:t>
      </w:r>
    </w:p>
    <w:p>
      <w:pPr>
        <w:pStyle w:val="BodyText"/>
        <w:spacing w:line="480" w:lineRule="auto" w:before="275"/>
        <w:ind w:left="1419" w:right="989" w:hanging="497"/>
        <w:jc w:val="both"/>
      </w:pPr>
      <w:r>
        <w:rPr/>
        <w:t>H0: La seguridad económica no influye significativamente en la percepción económica de los comerciantes del centro de abastos las Mercedes de Juliaca, </w:t>
      </w:r>
      <w:r>
        <w:rPr>
          <w:spacing w:val="-2"/>
        </w:rPr>
        <w:t>2023.</w:t>
      </w:r>
    </w:p>
    <w:p>
      <w:pPr>
        <w:pStyle w:val="BodyText"/>
        <w:spacing w:line="477" w:lineRule="auto" w:before="1"/>
        <w:ind w:left="1277" w:right="991" w:hanging="415"/>
        <w:jc w:val="both"/>
      </w:pPr>
      <w:r>
        <w:rPr/>
        <w:t>H1:</w:t>
      </w:r>
      <w:r>
        <w:rPr>
          <w:spacing w:val="-5"/>
        </w:rPr>
        <w:t> </w:t>
      </w:r>
      <w:r>
        <w:rPr/>
        <w:t>La</w:t>
      </w:r>
      <w:r>
        <w:rPr>
          <w:spacing w:val="-6"/>
        </w:rPr>
        <w:t> </w:t>
      </w:r>
      <w:r>
        <w:rPr/>
        <w:t>seguridad</w:t>
      </w:r>
      <w:r>
        <w:rPr>
          <w:spacing w:val="-5"/>
        </w:rPr>
        <w:t> </w:t>
      </w:r>
      <w:r>
        <w:rPr/>
        <w:t>económica</w:t>
      </w:r>
      <w:r>
        <w:rPr>
          <w:spacing w:val="-5"/>
        </w:rPr>
        <w:t> </w:t>
      </w:r>
      <w:r>
        <w:rPr/>
        <w:t>influye</w:t>
      </w:r>
      <w:r>
        <w:rPr>
          <w:spacing w:val="-5"/>
        </w:rPr>
        <w:t> </w:t>
      </w:r>
      <w:r>
        <w:rPr/>
        <w:t>significativamente</w:t>
      </w:r>
      <w:r>
        <w:rPr>
          <w:spacing w:val="-5"/>
        </w:rPr>
        <w:t> </w:t>
      </w:r>
      <w:r>
        <w:rPr/>
        <w:t>en</w:t>
      </w:r>
      <w:r>
        <w:rPr>
          <w:spacing w:val="-4"/>
        </w:rPr>
        <w:t> </w:t>
      </w:r>
      <w:r>
        <w:rPr/>
        <w:t>la</w:t>
      </w:r>
      <w:r>
        <w:rPr>
          <w:spacing w:val="-5"/>
        </w:rPr>
        <w:t> </w:t>
      </w:r>
      <w:r>
        <w:rPr/>
        <w:t>percepción</w:t>
      </w:r>
      <w:r>
        <w:rPr>
          <w:spacing w:val="-5"/>
        </w:rPr>
        <w:t> </w:t>
      </w:r>
      <w:r>
        <w:rPr/>
        <w:t>económica de los comerciantes del centro de abastos las Mercedes de Juliaca, 2023.</w:t>
      </w:r>
    </w:p>
    <w:p>
      <w:pPr>
        <w:pStyle w:val="ListParagraph"/>
        <w:numPr>
          <w:ilvl w:val="0"/>
          <w:numId w:val="19"/>
        </w:numPr>
        <w:tabs>
          <w:tab w:pos="850" w:val="left" w:leader="none"/>
        </w:tabs>
        <w:spacing w:line="240" w:lineRule="auto" w:before="4" w:after="0"/>
        <w:ind w:left="850" w:right="0" w:hanging="359"/>
        <w:jc w:val="both"/>
        <w:rPr>
          <w:sz w:val="24"/>
        </w:rPr>
      </w:pPr>
      <w:r>
        <w:rPr>
          <w:spacing w:val="-2"/>
          <w:sz w:val="24"/>
        </w:rPr>
        <w:t>Estadística</w:t>
      </w:r>
    </w:p>
    <w:p>
      <w:pPr>
        <w:pStyle w:val="Heading3"/>
        <w:spacing w:before="275"/>
        <w:ind w:left="863"/>
      </w:pPr>
      <w:bookmarkStart w:name="_bookmark66" w:id="67"/>
      <w:bookmarkEnd w:id="67"/>
      <w:r>
        <w:rPr>
          <w:b w:val="0"/>
        </w:rPr>
      </w:r>
      <w:r>
        <w:rPr/>
        <w:t>Tabla </w:t>
      </w:r>
      <w:r>
        <w:rPr>
          <w:spacing w:val="-10"/>
        </w:rPr>
        <w:t>6</w:t>
      </w:r>
    </w:p>
    <w:p>
      <w:pPr>
        <w:pStyle w:val="BodyText"/>
        <w:rPr>
          <w:b/>
        </w:rPr>
      </w:pPr>
    </w:p>
    <w:p>
      <w:pPr>
        <w:spacing w:before="0"/>
        <w:ind w:left="863" w:right="0" w:firstLine="0"/>
        <w:jc w:val="left"/>
        <w:rPr>
          <w:i/>
          <w:sz w:val="24"/>
        </w:rPr>
      </w:pPr>
      <w:bookmarkStart w:name="_bookmark67" w:id="68"/>
      <w:bookmarkEnd w:id="68"/>
      <w:r>
        <w:rPr/>
      </w:r>
      <w:r>
        <w:rPr>
          <w:i/>
          <w:sz w:val="24"/>
        </w:rPr>
        <w:t>Prueba</w:t>
      </w:r>
      <w:r>
        <w:rPr>
          <w:i/>
          <w:spacing w:val="-1"/>
          <w:sz w:val="24"/>
        </w:rPr>
        <w:t> </w:t>
      </w:r>
      <w:r>
        <w:rPr>
          <w:i/>
          <w:sz w:val="24"/>
        </w:rPr>
        <w:t>de</w:t>
      </w:r>
      <w:r>
        <w:rPr>
          <w:i/>
          <w:spacing w:val="-2"/>
          <w:sz w:val="24"/>
        </w:rPr>
        <w:t> </w:t>
      </w:r>
      <w:r>
        <w:rPr>
          <w:i/>
          <w:sz w:val="24"/>
        </w:rPr>
        <w:t>Chi-cuadrado</w:t>
      </w:r>
      <w:r>
        <w:rPr>
          <w:i/>
          <w:spacing w:val="-1"/>
          <w:sz w:val="24"/>
        </w:rPr>
        <w:t> </w:t>
      </w:r>
      <w:r>
        <w:rPr>
          <w:i/>
          <w:sz w:val="24"/>
        </w:rPr>
        <w:t>de</w:t>
      </w:r>
      <w:r>
        <w:rPr>
          <w:i/>
          <w:spacing w:val="-1"/>
          <w:sz w:val="24"/>
        </w:rPr>
        <w:t> </w:t>
      </w:r>
      <w:r>
        <w:rPr>
          <w:i/>
          <w:sz w:val="24"/>
        </w:rPr>
        <w:t>la </w:t>
      </w:r>
      <w:r>
        <w:rPr>
          <w:i/>
          <w:spacing w:val="-5"/>
          <w:sz w:val="24"/>
        </w:rPr>
        <w:t>HE3</w:t>
      </w:r>
    </w:p>
    <w:p>
      <w:pPr>
        <w:pStyle w:val="BodyText"/>
        <w:spacing w:before="46"/>
        <w:rPr>
          <w:i/>
          <w:sz w:val="20"/>
        </w:rPr>
      </w:pPr>
    </w:p>
    <w:tbl>
      <w:tblPr>
        <w:tblW w:w="0" w:type="auto"/>
        <w:jc w:val="left"/>
        <w:tblInd w:w="1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54"/>
        <w:gridCol w:w="7441"/>
      </w:tblGrid>
      <w:tr>
        <w:trPr>
          <w:trHeight w:val="442" w:hRule="atLeast"/>
        </w:trPr>
        <w:tc>
          <w:tcPr>
            <w:tcW w:w="9095" w:type="dxa"/>
            <w:gridSpan w:val="2"/>
            <w:tcBorders>
              <w:top w:val="single" w:sz="4" w:space="0" w:color="000000"/>
              <w:bottom w:val="single" w:sz="8" w:space="0" w:color="152935"/>
            </w:tcBorders>
          </w:tcPr>
          <w:p>
            <w:pPr>
              <w:pStyle w:val="TableParagraph"/>
              <w:spacing w:line="256" w:lineRule="exact" w:before="166"/>
              <w:ind w:left="3342"/>
              <w:rPr>
                <w:rFonts w:ascii="Times New Roman" w:hAnsi="Times New Roman"/>
                <w:sz w:val="24"/>
              </w:rPr>
            </w:pPr>
            <w:r>
              <w:rPr>
                <w:rFonts w:ascii="Times New Roman" w:hAnsi="Times New Roman"/>
                <w:sz w:val="24"/>
              </w:rPr>
              <w:t>SEGURIDAD ECONÓMICA</w:t>
            </w:r>
            <w:r>
              <w:rPr>
                <w:rFonts w:ascii="Times New Roman" w:hAnsi="Times New Roman"/>
                <w:spacing w:val="1"/>
                <w:sz w:val="24"/>
              </w:rPr>
              <w:t> </w:t>
            </w:r>
            <w:r>
              <w:rPr>
                <w:rFonts w:ascii="Times New Roman" w:hAnsi="Times New Roman"/>
                <w:spacing w:val="-2"/>
                <w:sz w:val="24"/>
              </w:rPr>
              <w:t>(Agrupada)</w:t>
            </w:r>
          </w:p>
        </w:tc>
      </w:tr>
      <w:tr>
        <w:trPr>
          <w:trHeight w:val="408" w:hRule="atLeast"/>
        </w:trPr>
        <w:tc>
          <w:tcPr>
            <w:tcW w:w="1654" w:type="dxa"/>
            <w:tcBorders>
              <w:top w:val="single" w:sz="8" w:space="0" w:color="152935"/>
            </w:tcBorders>
          </w:tcPr>
          <w:p>
            <w:pPr>
              <w:pStyle w:val="TableParagraph"/>
              <w:spacing w:before="44"/>
              <w:ind w:left="60"/>
              <w:rPr>
                <w:rFonts w:ascii="Times New Roman"/>
                <w:sz w:val="24"/>
              </w:rPr>
            </w:pPr>
            <w:r>
              <w:rPr>
                <w:rFonts w:ascii="Times New Roman"/>
                <w:spacing w:val="-2"/>
                <w:sz w:val="24"/>
              </w:rPr>
              <w:t>Chi-cuadrado</w:t>
            </w:r>
          </w:p>
        </w:tc>
        <w:tc>
          <w:tcPr>
            <w:tcW w:w="7441" w:type="dxa"/>
            <w:tcBorders>
              <w:top w:val="single" w:sz="8" w:space="0" w:color="152935"/>
            </w:tcBorders>
            <w:shd w:val="clear" w:color="auto" w:fill="F8F8FA"/>
          </w:tcPr>
          <w:p>
            <w:pPr>
              <w:pStyle w:val="TableParagraph"/>
              <w:spacing w:before="44"/>
              <w:ind w:right="56"/>
              <w:jc w:val="right"/>
              <w:rPr>
                <w:rFonts w:ascii="Times New Roman"/>
                <w:sz w:val="24"/>
              </w:rPr>
            </w:pPr>
            <w:r>
              <w:rPr>
                <w:rFonts w:ascii="Times New Roman"/>
                <w:color w:val="000104"/>
                <w:spacing w:val="-2"/>
                <w:sz w:val="24"/>
              </w:rPr>
              <w:t>7,589</w:t>
            </w:r>
            <w:r>
              <w:rPr>
                <w:rFonts w:ascii="Times New Roman"/>
                <w:color w:val="000104"/>
                <w:spacing w:val="-2"/>
                <w:sz w:val="24"/>
                <w:vertAlign w:val="superscript"/>
              </w:rPr>
              <w:t>a</w:t>
            </w:r>
          </w:p>
        </w:tc>
      </w:tr>
      <w:tr>
        <w:trPr>
          <w:trHeight w:val="442" w:hRule="atLeast"/>
        </w:trPr>
        <w:tc>
          <w:tcPr>
            <w:tcW w:w="1654" w:type="dxa"/>
          </w:tcPr>
          <w:p>
            <w:pPr>
              <w:pStyle w:val="TableParagraph"/>
              <w:spacing w:before="78"/>
              <w:ind w:left="60"/>
              <w:rPr>
                <w:rFonts w:ascii="Times New Roman"/>
                <w:sz w:val="24"/>
              </w:rPr>
            </w:pPr>
            <w:r>
              <w:rPr>
                <w:rFonts w:ascii="Times New Roman"/>
                <w:spacing w:val="-5"/>
                <w:sz w:val="24"/>
              </w:rPr>
              <w:t>gl</w:t>
            </w:r>
          </w:p>
        </w:tc>
        <w:tc>
          <w:tcPr>
            <w:tcW w:w="7441" w:type="dxa"/>
            <w:shd w:val="clear" w:color="auto" w:fill="F8F8FA"/>
          </w:tcPr>
          <w:p>
            <w:pPr>
              <w:pStyle w:val="TableParagraph"/>
              <w:spacing w:before="78"/>
              <w:ind w:right="56"/>
              <w:jc w:val="right"/>
              <w:rPr>
                <w:rFonts w:ascii="Times New Roman"/>
                <w:sz w:val="24"/>
              </w:rPr>
            </w:pPr>
            <w:r>
              <w:rPr>
                <w:rFonts w:ascii="Times New Roman"/>
                <w:color w:val="000104"/>
                <w:spacing w:val="-5"/>
                <w:sz w:val="24"/>
              </w:rPr>
              <w:t>174</w:t>
            </w:r>
          </w:p>
        </w:tc>
      </w:tr>
      <w:tr>
        <w:trPr>
          <w:trHeight w:val="475" w:hRule="atLeast"/>
        </w:trPr>
        <w:tc>
          <w:tcPr>
            <w:tcW w:w="1654" w:type="dxa"/>
            <w:tcBorders>
              <w:bottom w:val="single" w:sz="8" w:space="0" w:color="152935"/>
            </w:tcBorders>
          </w:tcPr>
          <w:p>
            <w:pPr>
              <w:pStyle w:val="TableParagraph"/>
              <w:spacing w:before="78"/>
              <w:ind w:left="60"/>
              <w:rPr>
                <w:rFonts w:ascii="Times New Roman"/>
                <w:sz w:val="24"/>
              </w:rPr>
            </w:pPr>
            <w:r>
              <w:rPr>
                <w:rFonts w:ascii="Times New Roman"/>
                <w:sz w:val="24"/>
              </w:rPr>
              <w:t>Sig. </w:t>
            </w:r>
            <w:r>
              <w:rPr>
                <w:rFonts w:ascii="Times New Roman"/>
                <w:spacing w:val="-2"/>
                <w:sz w:val="24"/>
              </w:rPr>
              <w:t>asin.</w:t>
            </w:r>
          </w:p>
        </w:tc>
        <w:tc>
          <w:tcPr>
            <w:tcW w:w="7441" w:type="dxa"/>
            <w:tcBorders>
              <w:bottom w:val="single" w:sz="8" w:space="0" w:color="152935"/>
            </w:tcBorders>
            <w:shd w:val="clear" w:color="auto" w:fill="F8F8FA"/>
          </w:tcPr>
          <w:p>
            <w:pPr>
              <w:pStyle w:val="TableParagraph"/>
              <w:spacing w:before="78"/>
              <w:ind w:right="56"/>
              <w:jc w:val="right"/>
              <w:rPr>
                <w:rFonts w:ascii="Times New Roman"/>
                <w:sz w:val="24"/>
              </w:rPr>
            </w:pPr>
            <w:r>
              <w:rPr>
                <w:rFonts w:ascii="Times New Roman"/>
                <w:color w:val="000104"/>
                <w:spacing w:val="-4"/>
                <w:sz w:val="24"/>
              </w:rPr>
              <w:t>,000</w:t>
            </w:r>
          </w:p>
        </w:tc>
      </w:tr>
      <w:tr>
        <w:trPr>
          <w:trHeight w:val="639" w:hRule="atLeast"/>
        </w:trPr>
        <w:tc>
          <w:tcPr>
            <w:tcW w:w="9095" w:type="dxa"/>
            <w:gridSpan w:val="2"/>
            <w:tcBorders>
              <w:top w:val="single" w:sz="8" w:space="0" w:color="152935"/>
            </w:tcBorders>
          </w:tcPr>
          <w:p>
            <w:pPr>
              <w:pStyle w:val="TableParagraph"/>
              <w:spacing w:line="320" w:lineRule="atLeast"/>
              <w:ind w:left="60"/>
              <w:rPr>
                <w:rFonts w:ascii="Times New Roman" w:hAnsi="Times New Roman"/>
                <w:sz w:val="24"/>
              </w:rPr>
            </w:pPr>
            <w:r>
              <w:rPr>
                <w:rFonts w:ascii="Times New Roman" w:hAnsi="Times New Roman"/>
                <w:color w:val="000104"/>
                <w:sz w:val="24"/>
              </w:rPr>
              <w:t>a.</w:t>
            </w:r>
            <w:r>
              <w:rPr>
                <w:rFonts w:ascii="Times New Roman" w:hAnsi="Times New Roman"/>
                <w:color w:val="000104"/>
                <w:spacing w:val="-3"/>
                <w:sz w:val="24"/>
              </w:rPr>
              <w:t> </w:t>
            </w:r>
            <w:r>
              <w:rPr>
                <w:rFonts w:ascii="Times New Roman" w:hAnsi="Times New Roman"/>
                <w:color w:val="000104"/>
                <w:sz w:val="24"/>
              </w:rPr>
              <w:t>0</w:t>
            </w:r>
            <w:r>
              <w:rPr>
                <w:rFonts w:ascii="Times New Roman" w:hAnsi="Times New Roman"/>
                <w:color w:val="000104"/>
                <w:spacing w:val="-3"/>
                <w:sz w:val="24"/>
              </w:rPr>
              <w:t> </w:t>
            </w:r>
            <w:r>
              <w:rPr>
                <w:rFonts w:ascii="Times New Roman" w:hAnsi="Times New Roman"/>
                <w:color w:val="000104"/>
                <w:sz w:val="24"/>
              </w:rPr>
              <w:t>casillas</w:t>
            </w:r>
            <w:r>
              <w:rPr>
                <w:rFonts w:ascii="Times New Roman" w:hAnsi="Times New Roman"/>
                <w:color w:val="000104"/>
                <w:spacing w:val="-3"/>
                <w:sz w:val="24"/>
              </w:rPr>
              <w:t> </w:t>
            </w:r>
            <w:r>
              <w:rPr>
                <w:rFonts w:ascii="Times New Roman" w:hAnsi="Times New Roman"/>
                <w:color w:val="000104"/>
                <w:sz w:val="24"/>
              </w:rPr>
              <w:t>(0,0%)</w:t>
            </w:r>
            <w:r>
              <w:rPr>
                <w:rFonts w:ascii="Times New Roman" w:hAnsi="Times New Roman"/>
                <w:color w:val="000104"/>
                <w:spacing w:val="-3"/>
                <w:sz w:val="24"/>
              </w:rPr>
              <w:t> </w:t>
            </w:r>
            <w:r>
              <w:rPr>
                <w:rFonts w:ascii="Times New Roman" w:hAnsi="Times New Roman"/>
                <w:color w:val="000104"/>
                <w:sz w:val="24"/>
              </w:rPr>
              <w:t>han</w:t>
            </w:r>
            <w:r>
              <w:rPr>
                <w:rFonts w:ascii="Times New Roman" w:hAnsi="Times New Roman"/>
                <w:color w:val="000104"/>
                <w:spacing w:val="-3"/>
                <w:sz w:val="24"/>
              </w:rPr>
              <w:t> </w:t>
            </w:r>
            <w:r>
              <w:rPr>
                <w:rFonts w:ascii="Times New Roman" w:hAnsi="Times New Roman"/>
                <w:color w:val="000104"/>
                <w:sz w:val="24"/>
              </w:rPr>
              <w:t>esperado</w:t>
            </w:r>
            <w:r>
              <w:rPr>
                <w:rFonts w:ascii="Times New Roman" w:hAnsi="Times New Roman"/>
                <w:color w:val="000104"/>
                <w:spacing w:val="-3"/>
                <w:sz w:val="24"/>
              </w:rPr>
              <w:t> </w:t>
            </w:r>
            <w:r>
              <w:rPr>
                <w:rFonts w:ascii="Times New Roman" w:hAnsi="Times New Roman"/>
                <w:color w:val="000104"/>
                <w:sz w:val="24"/>
              </w:rPr>
              <w:t>frecuencias</w:t>
            </w:r>
            <w:r>
              <w:rPr>
                <w:rFonts w:ascii="Times New Roman" w:hAnsi="Times New Roman"/>
                <w:color w:val="000104"/>
                <w:spacing w:val="-3"/>
                <w:sz w:val="24"/>
              </w:rPr>
              <w:t> </w:t>
            </w:r>
            <w:r>
              <w:rPr>
                <w:rFonts w:ascii="Times New Roman" w:hAnsi="Times New Roman"/>
                <w:color w:val="000104"/>
                <w:sz w:val="24"/>
              </w:rPr>
              <w:t>menores</w:t>
            </w:r>
            <w:r>
              <w:rPr>
                <w:rFonts w:ascii="Times New Roman" w:hAnsi="Times New Roman"/>
                <w:color w:val="000104"/>
                <w:spacing w:val="-3"/>
                <w:sz w:val="24"/>
              </w:rPr>
              <w:t> </w:t>
            </w:r>
            <w:r>
              <w:rPr>
                <w:rFonts w:ascii="Times New Roman" w:hAnsi="Times New Roman"/>
                <w:color w:val="000104"/>
                <w:sz w:val="24"/>
              </w:rPr>
              <w:t>que</w:t>
            </w:r>
            <w:r>
              <w:rPr>
                <w:rFonts w:ascii="Times New Roman" w:hAnsi="Times New Roman"/>
                <w:color w:val="000104"/>
                <w:spacing w:val="-3"/>
                <w:sz w:val="24"/>
              </w:rPr>
              <w:t> </w:t>
            </w:r>
            <w:r>
              <w:rPr>
                <w:rFonts w:ascii="Times New Roman" w:hAnsi="Times New Roman"/>
                <w:color w:val="000104"/>
                <w:sz w:val="24"/>
              </w:rPr>
              <w:t>5.</w:t>
            </w:r>
            <w:r>
              <w:rPr>
                <w:rFonts w:ascii="Times New Roman" w:hAnsi="Times New Roman"/>
                <w:color w:val="000104"/>
                <w:spacing w:val="-3"/>
                <w:sz w:val="24"/>
              </w:rPr>
              <w:t> </w:t>
            </w:r>
            <w:r>
              <w:rPr>
                <w:rFonts w:ascii="Times New Roman" w:hAnsi="Times New Roman"/>
                <w:color w:val="000104"/>
                <w:sz w:val="24"/>
              </w:rPr>
              <w:t>La</w:t>
            </w:r>
            <w:r>
              <w:rPr>
                <w:rFonts w:ascii="Times New Roman" w:hAnsi="Times New Roman"/>
                <w:color w:val="000104"/>
                <w:spacing w:val="-3"/>
                <w:sz w:val="24"/>
              </w:rPr>
              <w:t> </w:t>
            </w:r>
            <w:r>
              <w:rPr>
                <w:rFonts w:ascii="Times New Roman" w:hAnsi="Times New Roman"/>
                <w:color w:val="000104"/>
                <w:sz w:val="24"/>
              </w:rPr>
              <w:t>frecuencia</w:t>
            </w:r>
            <w:r>
              <w:rPr>
                <w:rFonts w:ascii="Times New Roman" w:hAnsi="Times New Roman"/>
                <w:color w:val="000104"/>
                <w:spacing w:val="-5"/>
                <w:sz w:val="24"/>
              </w:rPr>
              <w:t> </w:t>
            </w:r>
            <w:r>
              <w:rPr>
                <w:rFonts w:ascii="Times New Roman" w:hAnsi="Times New Roman"/>
                <w:color w:val="000104"/>
                <w:sz w:val="24"/>
              </w:rPr>
              <w:t>mínima</w:t>
            </w:r>
            <w:r>
              <w:rPr>
                <w:rFonts w:ascii="Times New Roman" w:hAnsi="Times New Roman"/>
                <w:color w:val="000104"/>
                <w:spacing w:val="-2"/>
                <w:sz w:val="24"/>
              </w:rPr>
              <w:t> </w:t>
            </w:r>
            <w:r>
              <w:rPr>
                <w:rFonts w:ascii="Times New Roman" w:hAnsi="Times New Roman"/>
                <w:color w:val="000104"/>
                <w:sz w:val="24"/>
              </w:rPr>
              <w:t>de</w:t>
            </w:r>
            <w:r>
              <w:rPr>
                <w:rFonts w:ascii="Times New Roman" w:hAnsi="Times New Roman"/>
                <w:color w:val="000104"/>
                <w:spacing w:val="-1"/>
                <w:sz w:val="24"/>
              </w:rPr>
              <w:t> </w:t>
            </w:r>
            <w:r>
              <w:rPr>
                <w:rFonts w:ascii="Times New Roman" w:hAnsi="Times New Roman"/>
                <w:color w:val="000104"/>
                <w:sz w:val="24"/>
              </w:rPr>
              <w:t>casilla esperada es 8,6.</w:t>
            </w:r>
          </w:p>
        </w:tc>
      </w:tr>
    </w:tbl>
    <w:p>
      <w:pPr>
        <w:pStyle w:val="BodyText"/>
        <w:spacing w:before="236"/>
        <w:rPr>
          <w:i/>
        </w:rPr>
      </w:pPr>
    </w:p>
    <w:p>
      <w:pPr>
        <w:pStyle w:val="BodyText"/>
        <w:ind w:left="863"/>
      </w:pPr>
      <w:r>
        <w:rPr>
          <w:i/>
        </w:rPr>
        <w:t>Nota</w:t>
      </w:r>
      <w:r>
        <w:rPr/>
        <w:t>.</w:t>
      </w:r>
      <w:r>
        <w:rPr>
          <w:spacing w:val="-1"/>
        </w:rPr>
        <w:t> </w:t>
      </w:r>
      <w:r>
        <w:rPr/>
        <w:t>Diseño </w:t>
      </w:r>
      <w:r>
        <w:rPr>
          <w:spacing w:val="-2"/>
        </w:rPr>
        <w:t>propio.</w:t>
      </w:r>
    </w:p>
    <w:p>
      <w:pPr>
        <w:pStyle w:val="ListParagraph"/>
        <w:numPr>
          <w:ilvl w:val="0"/>
          <w:numId w:val="19"/>
        </w:numPr>
        <w:tabs>
          <w:tab w:pos="850" w:val="left" w:leader="none"/>
        </w:tabs>
        <w:spacing w:line="240" w:lineRule="auto" w:before="275" w:after="0"/>
        <w:ind w:left="850" w:right="0" w:hanging="359"/>
        <w:jc w:val="both"/>
        <w:rPr>
          <w:sz w:val="24"/>
        </w:rPr>
      </w:pPr>
      <w:r>
        <w:rPr>
          <w:sz w:val="24"/>
        </w:rPr>
        <w:t>P-</w:t>
      </w:r>
      <w:r>
        <w:rPr>
          <w:spacing w:val="-2"/>
          <w:sz w:val="24"/>
        </w:rPr>
        <w:t>valor</w:t>
      </w:r>
    </w:p>
    <w:p>
      <w:pPr>
        <w:pStyle w:val="BodyText"/>
        <w:spacing w:line="480" w:lineRule="auto" w:before="275"/>
        <w:ind w:left="863" w:right="3968"/>
        <w:jc w:val="both"/>
      </w:pPr>
      <w:r>
        <w:rPr/>
        <w:t>Si</w:t>
      </w:r>
      <w:r>
        <w:rPr>
          <w:spacing w:val="-4"/>
        </w:rPr>
        <w:t> </w:t>
      </w:r>
      <w:r>
        <w:rPr/>
        <w:t>la</w:t>
      </w:r>
      <w:r>
        <w:rPr>
          <w:spacing w:val="-4"/>
        </w:rPr>
        <w:t> </w:t>
      </w:r>
      <w:r>
        <w:rPr/>
        <w:t>significancia</w:t>
      </w:r>
      <w:r>
        <w:rPr>
          <w:spacing w:val="-4"/>
        </w:rPr>
        <w:t> </w:t>
      </w:r>
      <w:r>
        <w:rPr/>
        <w:t>es</w:t>
      </w:r>
      <w:r>
        <w:rPr>
          <w:spacing w:val="-2"/>
        </w:rPr>
        <w:t> </w:t>
      </w:r>
      <w:r>
        <w:rPr/>
        <w:t>superior</w:t>
      </w:r>
      <w:r>
        <w:rPr>
          <w:spacing w:val="-4"/>
        </w:rPr>
        <w:t> </w:t>
      </w:r>
      <w:r>
        <w:rPr/>
        <w:t>a</w:t>
      </w:r>
      <w:r>
        <w:rPr>
          <w:spacing w:val="-5"/>
        </w:rPr>
        <w:t> </w:t>
      </w:r>
      <w:r>
        <w:rPr/>
        <w:t>alfa</w:t>
      </w:r>
      <w:r>
        <w:rPr>
          <w:spacing w:val="-4"/>
        </w:rPr>
        <w:t> </w:t>
      </w:r>
      <w:r>
        <w:rPr/>
        <w:t>se</w:t>
      </w:r>
      <w:r>
        <w:rPr>
          <w:spacing w:val="-3"/>
        </w:rPr>
        <w:t> </w:t>
      </w:r>
      <w:r>
        <w:rPr/>
        <w:t>acepta</w:t>
      </w:r>
      <w:r>
        <w:rPr>
          <w:spacing w:val="-4"/>
        </w:rPr>
        <w:t> </w:t>
      </w:r>
      <w:r>
        <w:rPr/>
        <w:t>la</w:t>
      </w:r>
      <w:r>
        <w:rPr>
          <w:spacing w:val="-4"/>
        </w:rPr>
        <w:t> </w:t>
      </w:r>
      <w:r>
        <w:rPr/>
        <w:t>(H0) Si la significancia es inferior a alfa se acepta la (H1)</w:t>
      </w:r>
    </w:p>
    <w:p>
      <w:pPr>
        <w:pStyle w:val="ListParagraph"/>
        <w:numPr>
          <w:ilvl w:val="0"/>
          <w:numId w:val="19"/>
        </w:numPr>
        <w:tabs>
          <w:tab w:pos="850" w:val="left" w:leader="none"/>
        </w:tabs>
        <w:spacing w:line="240" w:lineRule="auto" w:before="2" w:after="0"/>
        <w:ind w:left="850" w:right="0" w:hanging="359"/>
        <w:jc w:val="both"/>
        <w:rPr>
          <w:sz w:val="24"/>
        </w:rPr>
      </w:pPr>
      <w:r>
        <w:rPr>
          <w:spacing w:val="-2"/>
          <w:sz w:val="24"/>
        </w:rPr>
        <w:t>Decisión</w:t>
      </w:r>
    </w:p>
    <w:p>
      <w:pPr>
        <w:pStyle w:val="BodyText"/>
        <w:spacing w:line="480" w:lineRule="auto" w:before="275"/>
        <w:ind w:left="143" w:right="990" w:firstLine="719"/>
        <w:jc w:val="both"/>
      </w:pPr>
      <w:r>
        <w:rPr/>
        <w:t>La tabla 6 muestra una significancia de 0.000, indicando un resultado altamente significativo. En consecuencia, se confirma la hipótesis H1 que postula la seguridad económica</w:t>
      </w:r>
      <w:r>
        <w:rPr>
          <w:spacing w:val="9"/>
        </w:rPr>
        <w:t> </w:t>
      </w:r>
      <w:r>
        <w:rPr/>
        <w:t>influye</w:t>
      </w:r>
      <w:r>
        <w:rPr>
          <w:spacing w:val="10"/>
        </w:rPr>
        <w:t> </w:t>
      </w:r>
      <w:r>
        <w:rPr/>
        <w:t>significativamente</w:t>
      </w:r>
      <w:r>
        <w:rPr>
          <w:spacing w:val="11"/>
        </w:rPr>
        <w:t> </w:t>
      </w:r>
      <w:r>
        <w:rPr/>
        <w:t>en</w:t>
      </w:r>
      <w:r>
        <w:rPr>
          <w:spacing w:val="13"/>
        </w:rPr>
        <w:t> </w:t>
      </w:r>
      <w:r>
        <w:rPr/>
        <w:t>la</w:t>
      </w:r>
      <w:r>
        <w:rPr>
          <w:spacing w:val="10"/>
        </w:rPr>
        <w:t> </w:t>
      </w:r>
      <w:r>
        <w:rPr/>
        <w:t>percepción</w:t>
      </w:r>
      <w:r>
        <w:rPr>
          <w:spacing w:val="11"/>
        </w:rPr>
        <w:t> </w:t>
      </w:r>
      <w:r>
        <w:rPr/>
        <w:t>económica</w:t>
      </w:r>
      <w:r>
        <w:rPr>
          <w:spacing w:val="11"/>
        </w:rPr>
        <w:t> </w:t>
      </w:r>
      <w:r>
        <w:rPr/>
        <w:t>de</w:t>
      </w:r>
      <w:r>
        <w:rPr>
          <w:spacing w:val="13"/>
        </w:rPr>
        <w:t> </w:t>
      </w:r>
      <w:r>
        <w:rPr/>
        <w:t>los</w:t>
      </w:r>
      <w:r>
        <w:rPr>
          <w:spacing w:val="12"/>
        </w:rPr>
        <w:t> </w:t>
      </w:r>
      <w:r>
        <w:rPr/>
        <w:t>comerciantes</w:t>
      </w:r>
      <w:r>
        <w:rPr>
          <w:spacing w:val="11"/>
        </w:rPr>
        <w:t> </w:t>
      </w:r>
      <w:r>
        <w:rPr>
          <w:spacing w:val="-5"/>
        </w:rPr>
        <w:t>del</w:t>
      </w:r>
    </w:p>
    <w:p>
      <w:pPr>
        <w:pStyle w:val="BodyText"/>
        <w:spacing w:after="0" w:line="480" w:lineRule="auto"/>
        <w:jc w:val="both"/>
        <w:sectPr>
          <w:headerReference w:type="default" r:id="rId55"/>
          <w:footerReference w:type="default" r:id="rId56"/>
          <w:pgSz w:w="11910" w:h="16840"/>
          <w:pgMar w:header="0" w:footer="2788" w:top="1340" w:bottom="2980" w:left="1559" w:right="425"/>
        </w:sectPr>
      </w:pPr>
    </w:p>
    <w:p>
      <w:pPr>
        <w:pStyle w:val="BodyText"/>
        <w:rPr>
          <w:sz w:val="20"/>
        </w:rPr>
      </w:pPr>
      <w:r>
        <w:rPr>
          <w:sz w:val="20"/>
        </w:rPr>
        <w:drawing>
          <wp:anchor distT="0" distB="0" distL="0" distR="0" allowOverlap="1" layoutInCell="1" locked="0" behindDoc="0" simplePos="0" relativeHeight="15757312">
            <wp:simplePos x="0" y="0"/>
            <wp:positionH relativeFrom="page">
              <wp:posOffset>0</wp:posOffset>
            </wp:positionH>
            <wp:positionV relativeFrom="page">
              <wp:posOffset>0</wp:posOffset>
            </wp:positionV>
            <wp:extent cx="7559040" cy="858265"/>
            <wp:effectExtent l="0" t="0" r="0" b="0"/>
            <wp:wrapNone/>
            <wp:docPr id="152" name="Image 152"/>
            <wp:cNvGraphicFramePr>
              <a:graphicFrameLocks/>
            </wp:cNvGraphicFramePr>
            <a:graphic>
              <a:graphicData uri="http://schemas.openxmlformats.org/drawingml/2006/picture">
                <pic:pic>
                  <pic:nvPicPr>
                    <pic:cNvPr id="152" name="Image 152"/>
                    <pic:cNvPicPr/>
                  </pic:nvPicPr>
                  <pic:blipFill>
                    <a:blip r:embed="rId5" cstate="print"/>
                    <a:stretch>
                      <a:fillRect/>
                    </a:stretch>
                  </pic:blipFill>
                  <pic:spPr>
                    <a:xfrm>
                      <a:off x="0" y="0"/>
                      <a:ext cx="7559040" cy="858265"/>
                    </a:xfrm>
                    <a:prstGeom prst="rect">
                      <a:avLst/>
                    </a:prstGeom>
                  </pic:spPr>
                </pic:pic>
              </a:graphicData>
            </a:graphic>
          </wp:anchor>
        </w:drawing>
      </w:r>
    </w:p>
    <w:p>
      <w:pPr>
        <w:pStyle w:val="BodyText"/>
        <w:spacing w:before="137"/>
        <w:rPr>
          <w:sz w:val="20"/>
        </w:rPr>
      </w:pPr>
    </w:p>
    <w:p>
      <w:pPr>
        <w:pStyle w:val="BodyText"/>
        <w:ind w:left="8491"/>
        <w:rPr>
          <w:sz w:val="20"/>
        </w:rPr>
      </w:pPr>
      <w:r>
        <w:rPr>
          <w:sz w:val="20"/>
        </w:rPr>
        <mc:AlternateContent>
          <mc:Choice Requires="wps">
            <w:drawing>
              <wp:inline distT="0" distB="0" distL="0" distR="0">
                <wp:extent cx="371475" cy="342900"/>
                <wp:effectExtent l="0" t="0" r="0" b="0"/>
                <wp:docPr id="153" name="Group 153"/>
                <wp:cNvGraphicFramePr>
                  <a:graphicFrameLocks/>
                </wp:cNvGraphicFramePr>
                <a:graphic>
                  <a:graphicData uri="http://schemas.microsoft.com/office/word/2010/wordprocessingGroup">
                    <wpg:wgp>
                      <wpg:cNvPr id="153" name="Group 153"/>
                      <wpg:cNvGrpSpPr/>
                      <wpg:grpSpPr>
                        <a:xfrm>
                          <a:off x="0" y="0"/>
                          <a:ext cx="371475" cy="342900"/>
                          <a:chExt cx="371475" cy="342900"/>
                        </a:xfrm>
                      </wpg:grpSpPr>
                      <wps:wsp>
                        <wps:cNvPr id="154" name="Graphic 154"/>
                        <wps:cNvSpPr/>
                        <wps:spPr>
                          <a:xfrm>
                            <a:off x="0" y="0"/>
                            <a:ext cx="371475" cy="342900"/>
                          </a:xfrm>
                          <a:custGeom>
                            <a:avLst/>
                            <a:gdLst/>
                            <a:ahLst/>
                            <a:cxnLst/>
                            <a:rect l="l" t="t" r="r" b="b"/>
                            <a:pathLst>
                              <a:path w="371475" h="342900">
                                <a:moveTo>
                                  <a:pt x="371475" y="0"/>
                                </a:moveTo>
                                <a:lnTo>
                                  <a:pt x="0" y="0"/>
                                </a:lnTo>
                                <a:lnTo>
                                  <a:pt x="0" y="342900"/>
                                </a:lnTo>
                                <a:lnTo>
                                  <a:pt x="371475" y="342900"/>
                                </a:lnTo>
                                <a:lnTo>
                                  <a:pt x="371475"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style="width:29.25pt;height:27pt;mso-position-horizontal-relative:char;mso-position-vertical-relative:line" id="docshapegroup107" coordorigin="0,0" coordsize="585,540">
                <v:rect style="position:absolute;left:0;top:0;width:585;height:540" id="docshape108" filled="true" fillcolor="#ffffff" stroked="false">
                  <v:fill type="solid"/>
                </v:rect>
              </v:group>
            </w:pict>
          </mc:Fallback>
        </mc:AlternateContent>
      </w:r>
      <w:r>
        <w:rPr>
          <w:sz w:val="20"/>
        </w:rPr>
      </w:r>
    </w:p>
    <w:p>
      <w:pPr>
        <w:pStyle w:val="Heading1"/>
        <w:spacing w:before="238"/>
        <w:ind w:left="0" w:right="845"/>
        <w:rPr>
          <w:rFonts w:ascii="Times New Roman" w:hAnsi="Times New Roman"/>
        </w:rPr>
      </w:pPr>
      <w:r>
        <w:rPr>
          <w:rFonts w:ascii="Times New Roman" w:hAnsi="Times New Roman"/>
        </w:rPr>
        <mc:AlternateContent>
          <mc:Choice Requires="wps">
            <w:drawing>
              <wp:anchor distT="0" distB="0" distL="0" distR="0" allowOverlap="1" layoutInCell="1" locked="0" behindDoc="1" simplePos="0" relativeHeight="486010880">
                <wp:simplePos x="0" y="0"/>
                <wp:positionH relativeFrom="page">
                  <wp:posOffset>6508368</wp:posOffset>
                </wp:positionH>
                <wp:positionV relativeFrom="paragraph">
                  <wp:posOffset>-293285</wp:posOffset>
                </wp:positionV>
                <wp:extent cx="152400" cy="168910"/>
                <wp:effectExtent l="0" t="0" r="0" b="0"/>
                <wp:wrapNone/>
                <wp:docPr id="155" name="Textbox 155"/>
                <wp:cNvGraphicFramePr>
                  <a:graphicFrameLocks/>
                </wp:cNvGraphicFramePr>
                <a:graphic>
                  <a:graphicData uri="http://schemas.microsoft.com/office/word/2010/wordprocessingShape">
                    <wps:wsp>
                      <wps:cNvPr id="155" name="Textbox 155"/>
                      <wps:cNvSpPr txBox="1"/>
                      <wps:spPr>
                        <a:xfrm>
                          <a:off x="0" y="0"/>
                          <a:ext cx="152400" cy="168910"/>
                        </a:xfrm>
                        <a:prstGeom prst="rect">
                          <a:avLst/>
                        </a:prstGeom>
                      </wps:spPr>
                      <wps:txbx>
                        <w:txbxContent>
                          <w:p>
                            <w:pPr>
                              <w:pStyle w:val="BodyText"/>
                              <w:spacing w:line="266" w:lineRule="exact"/>
                            </w:pPr>
                            <w:r>
                              <w:rPr>
                                <w:spacing w:val="-5"/>
                              </w:rPr>
                              <w:t>48</w:t>
                            </w:r>
                          </w:p>
                        </w:txbxContent>
                      </wps:txbx>
                      <wps:bodyPr wrap="square" lIns="0" tIns="0" rIns="0" bIns="0" rtlCol="0">
                        <a:noAutofit/>
                      </wps:bodyPr>
                    </wps:wsp>
                  </a:graphicData>
                </a:graphic>
              </wp:anchor>
            </w:drawing>
          </mc:Choice>
          <mc:Fallback>
            <w:pict>
              <v:shape style="position:absolute;margin-left:512.469971pt;margin-top:-23.093359pt;width:12pt;height:13.3pt;mso-position-horizontal-relative:page;mso-position-vertical-relative:paragraph;z-index:-17305600" type="#_x0000_t202" id="docshape109" filled="false" stroked="false">
                <v:textbox inset="0,0,0,0">
                  <w:txbxContent>
                    <w:p>
                      <w:pPr>
                        <w:pStyle w:val="BodyText"/>
                        <w:spacing w:line="266" w:lineRule="exact"/>
                      </w:pPr>
                      <w:r>
                        <w:rPr>
                          <w:spacing w:val="-5"/>
                        </w:rPr>
                        <w:t>48</w:t>
                      </w:r>
                    </w:p>
                  </w:txbxContent>
                </v:textbox>
                <w10:wrap type="none"/>
              </v:shape>
            </w:pict>
          </mc:Fallback>
        </mc:AlternateContent>
      </w:r>
      <w:bookmarkStart w:name="_bookmark68" w:id="69"/>
      <w:bookmarkEnd w:id="69"/>
      <w:r>
        <w:rPr>
          <w:b w:val="0"/>
        </w:rPr>
      </w:r>
      <w:r>
        <w:rPr>
          <w:rFonts w:ascii="Times New Roman" w:hAnsi="Times New Roman"/>
        </w:rPr>
        <w:t>CAPÍTULO </w:t>
      </w:r>
      <w:r>
        <w:rPr>
          <w:rFonts w:ascii="Times New Roman" w:hAnsi="Times New Roman"/>
          <w:spacing w:val="-5"/>
        </w:rPr>
        <w:t>VI</w:t>
      </w:r>
    </w:p>
    <w:p>
      <w:pPr>
        <w:pStyle w:val="BodyText"/>
        <w:rPr>
          <w:b/>
          <w:sz w:val="28"/>
        </w:rPr>
      </w:pPr>
    </w:p>
    <w:p>
      <w:pPr>
        <w:pStyle w:val="Heading2"/>
        <w:ind w:right="845"/>
      </w:pPr>
      <w:bookmarkStart w:name="_bookmark69" w:id="70"/>
      <w:bookmarkEnd w:id="70"/>
      <w:r>
        <w:rPr>
          <w:b w:val="0"/>
        </w:rPr>
      </w:r>
      <w:r>
        <w:rPr/>
        <w:t>RESULTADOS Y</w:t>
      </w:r>
      <w:r>
        <w:rPr>
          <w:spacing w:val="-2"/>
        </w:rPr>
        <w:t> DISCUSIÓN</w:t>
      </w:r>
    </w:p>
    <w:p>
      <w:pPr>
        <w:pStyle w:val="BodyText"/>
        <w:spacing w:before="120"/>
        <w:rPr>
          <w:b/>
        </w:rPr>
      </w:pPr>
    </w:p>
    <w:p>
      <w:pPr>
        <w:pStyle w:val="Heading3"/>
        <w:numPr>
          <w:ilvl w:val="1"/>
          <w:numId w:val="20"/>
        </w:numPr>
        <w:tabs>
          <w:tab w:pos="568" w:val="left" w:leader="none"/>
        </w:tabs>
        <w:spacing w:line="240" w:lineRule="auto" w:before="0" w:after="0"/>
        <w:ind w:left="568" w:right="0" w:hanging="425"/>
        <w:jc w:val="left"/>
      </w:pPr>
      <w:bookmarkStart w:name="_bookmark70" w:id="71"/>
      <w:bookmarkEnd w:id="71"/>
      <w:r>
        <w:rPr>
          <w:b w:val="0"/>
        </w:rPr>
      </w:r>
      <w:r>
        <w:rPr/>
        <w:t>Presentación</w:t>
      </w:r>
      <w:r>
        <w:rPr>
          <w:spacing w:val="-2"/>
        </w:rPr>
        <w:t> </w:t>
      </w:r>
      <w:r>
        <w:rPr/>
        <w:t>de</w:t>
      </w:r>
      <w:r>
        <w:rPr>
          <w:spacing w:val="-2"/>
        </w:rPr>
        <w:t> resultados</w:t>
      </w:r>
    </w:p>
    <w:p>
      <w:pPr>
        <w:pStyle w:val="BodyText"/>
        <w:rPr>
          <w:b/>
        </w:rPr>
      </w:pPr>
    </w:p>
    <w:p>
      <w:pPr>
        <w:pStyle w:val="BodyText"/>
        <w:spacing w:line="480" w:lineRule="auto"/>
        <w:ind w:left="569" w:right="986" w:firstLine="294"/>
      </w:pPr>
      <w:r>
        <w:rPr/>
        <w:t>Este apartado comprende los hallazgos estadísticos para cumplir con los objetivos propuestos, esto a través de tablas y figuras, para su posterior interpretación.</w:t>
      </w:r>
    </w:p>
    <w:p>
      <w:pPr>
        <w:pStyle w:val="Heading3"/>
        <w:ind w:left="863"/>
      </w:pPr>
      <w:bookmarkStart w:name="_bookmark71" w:id="72"/>
      <w:bookmarkEnd w:id="72"/>
      <w:r>
        <w:rPr>
          <w:b w:val="0"/>
        </w:rPr>
      </w:r>
      <w:r>
        <w:rPr/>
        <w:t>Tabla</w:t>
      </w:r>
      <w:r>
        <w:rPr>
          <w:spacing w:val="-1"/>
        </w:rPr>
        <w:t> </w:t>
      </w:r>
      <w:r>
        <w:rPr>
          <w:spacing w:val="-10"/>
        </w:rPr>
        <w:t>7</w:t>
      </w:r>
    </w:p>
    <w:p>
      <w:pPr>
        <w:pStyle w:val="BodyText"/>
        <w:rPr>
          <w:b/>
        </w:rPr>
      </w:pPr>
    </w:p>
    <w:p>
      <w:pPr>
        <w:spacing w:before="0"/>
        <w:ind w:left="863" w:right="0" w:firstLine="0"/>
        <w:jc w:val="left"/>
        <w:rPr>
          <w:i/>
          <w:sz w:val="24"/>
        </w:rPr>
      </w:pPr>
      <w:bookmarkStart w:name="_bookmark72" w:id="73"/>
      <w:bookmarkEnd w:id="73"/>
      <w:r>
        <w:rPr/>
      </w:r>
      <w:r>
        <w:rPr>
          <w:i/>
          <w:sz w:val="24"/>
        </w:rPr>
        <w:t>Resultados</w:t>
      </w:r>
      <w:r>
        <w:rPr>
          <w:i/>
          <w:spacing w:val="-1"/>
          <w:sz w:val="24"/>
        </w:rPr>
        <w:t> </w:t>
      </w:r>
      <w:r>
        <w:rPr>
          <w:i/>
          <w:sz w:val="24"/>
        </w:rPr>
        <w:t>de</w:t>
      </w:r>
      <w:r>
        <w:rPr>
          <w:i/>
          <w:spacing w:val="-1"/>
          <w:sz w:val="24"/>
        </w:rPr>
        <w:t> </w:t>
      </w:r>
      <w:r>
        <w:rPr>
          <w:i/>
          <w:sz w:val="24"/>
        </w:rPr>
        <w:t>la</w:t>
      </w:r>
      <w:r>
        <w:rPr>
          <w:i/>
          <w:spacing w:val="-1"/>
          <w:sz w:val="24"/>
        </w:rPr>
        <w:t> </w:t>
      </w:r>
      <w:r>
        <w:rPr>
          <w:i/>
          <w:sz w:val="24"/>
        </w:rPr>
        <w:t>normalidad</w:t>
      </w:r>
      <w:r>
        <w:rPr>
          <w:i/>
          <w:spacing w:val="-1"/>
          <w:sz w:val="24"/>
        </w:rPr>
        <w:t> </w:t>
      </w:r>
      <w:r>
        <w:rPr>
          <w:i/>
          <w:sz w:val="24"/>
        </w:rPr>
        <w:t>de</w:t>
      </w:r>
      <w:r>
        <w:rPr>
          <w:i/>
          <w:spacing w:val="-1"/>
          <w:sz w:val="24"/>
        </w:rPr>
        <w:t> </w:t>
      </w:r>
      <w:r>
        <w:rPr>
          <w:i/>
          <w:sz w:val="24"/>
        </w:rPr>
        <w:t>los </w:t>
      </w:r>
      <w:r>
        <w:rPr>
          <w:i/>
          <w:spacing w:val="-2"/>
          <w:sz w:val="24"/>
        </w:rPr>
        <w:t>datos</w:t>
      </w:r>
    </w:p>
    <w:p>
      <w:pPr>
        <w:pStyle w:val="BodyText"/>
        <w:spacing w:before="46"/>
        <w:rPr>
          <w:i/>
          <w:sz w:val="20"/>
        </w:rPr>
      </w:pPr>
    </w:p>
    <w:tbl>
      <w:tblPr>
        <w:tblW w:w="0" w:type="auto"/>
        <w:jc w:val="left"/>
        <w:tblInd w:w="1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106"/>
        <w:gridCol w:w="1522"/>
        <w:gridCol w:w="1619"/>
        <w:gridCol w:w="550"/>
      </w:tblGrid>
      <w:tr>
        <w:trPr>
          <w:trHeight w:val="800" w:hRule="atLeast"/>
        </w:trPr>
        <w:tc>
          <w:tcPr>
            <w:tcW w:w="8797" w:type="dxa"/>
            <w:gridSpan w:val="4"/>
            <w:tcBorders>
              <w:top w:val="single" w:sz="4" w:space="0" w:color="000000"/>
              <w:bottom w:val="single" w:sz="4" w:space="0" w:color="000000"/>
            </w:tcBorders>
          </w:tcPr>
          <w:p>
            <w:pPr>
              <w:pStyle w:val="TableParagraph"/>
              <w:spacing w:before="7"/>
              <w:rPr>
                <w:rFonts w:ascii="Times New Roman"/>
                <w:i/>
                <w:sz w:val="24"/>
              </w:rPr>
            </w:pPr>
          </w:p>
          <w:p>
            <w:pPr>
              <w:pStyle w:val="TableParagraph"/>
              <w:spacing w:before="1"/>
              <w:ind w:left="5161"/>
              <w:rPr>
                <w:rFonts w:ascii="Times New Roman" w:hAnsi="Times New Roman"/>
                <w:sz w:val="24"/>
              </w:rPr>
            </w:pPr>
            <w:r>
              <w:rPr>
                <w:rFonts w:ascii="Times New Roman" w:hAnsi="Times New Roman"/>
                <w:sz w:val="24"/>
              </w:rPr>
              <w:t>Kolmogórov</w:t>
            </w:r>
            <w:r>
              <w:rPr>
                <w:rFonts w:ascii="Times New Roman" w:hAnsi="Times New Roman"/>
                <w:spacing w:val="-1"/>
                <w:sz w:val="24"/>
              </w:rPr>
              <w:t> </w:t>
            </w:r>
            <w:r>
              <w:rPr>
                <w:rFonts w:ascii="Times New Roman" w:hAnsi="Times New Roman"/>
                <w:spacing w:val="-2"/>
                <w:sz w:val="24"/>
              </w:rPr>
              <w:t>Smirnov</w:t>
            </w:r>
          </w:p>
        </w:tc>
      </w:tr>
      <w:tr>
        <w:trPr>
          <w:trHeight w:val="827" w:hRule="atLeast"/>
        </w:trPr>
        <w:tc>
          <w:tcPr>
            <w:tcW w:w="5106" w:type="dxa"/>
            <w:tcBorders>
              <w:top w:val="single" w:sz="4" w:space="0" w:color="000000"/>
            </w:tcBorders>
          </w:tcPr>
          <w:p>
            <w:pPr>
              <w:pStyle w:val="TableParagraph"/>
              <w:spacing w:before="7"/>
              <w:rPr>
                <w:rFonts w:ascii="Times New Roman"/>
                <w:i/>
                <w:sz w:val="24"/>
              </w:rPr>
            </w:pPr>
          </w:p>
          <w:p>
            <w:pPr>
              <w:pStyle w:val="TableParagraph"/>
              <w:spacing w:before="1"/>
              <w:ind w:right="-29"/>
              <w:jc w:val="right"/>
              <w:rPr>
                <w:rFonts w:ascii="Times New Roman" w:hAnsi="Times New Roman"/>
                <w:sz w:val="24"/>
              </w:rPr>
            </w:pPr>
            <w:r>
              <w:rPr>
                <w:rFonts w:ascii="Times New Roman" w:hAnsi="Times New Roman"/>
                <w:spacing w:val="-2"/>
                <w:sz w:val="24"/>
              </w:rPr>
              <w:t>Estadística</w:t>
            </w:r>
          </w:p>
        </w:tc>
        <w:tc>
          <w:tcPr>
            <w:tcW w:w="1522" w:type="dxa"/>
            <w:tcBorders>
              <w:top w:val="single" w:sz="4" w:space="0" w:color="000000"/>
            </w:tcBorders>
          </w:tcPr>
          <w:p>
            <w:pPr>
              <w:pStyle w:val="TableParagraph"/>
              <w:spacing w:before="7"/>
              <w:rPr>
                <w:rFonts w:ascii="Times New Roman"/>
                <w:i/>
                <w:sz w:val="24"/>
              </w:rPr>
            </w:pPr>
          </w:p>
          <w:p>
            <w:pPr>
              <w:pStyle w:val="TableParagraph"/>
              <w:spacing w:before="1"/>
              <w:ind w:right="130"/>
              <w:jc w:val="right"/>
              <w:rPr>
                <w:rFonts w:ascii="Times New Roman"/>
                <w:sz w:val="24"/>
              </w:rPr>
            </w:pPr>
            <w:r>
              <w:rPr>
                <w:rFonts w:ascii="Times New Roman"/>
                <w:spacing w:val="-5"/>
                <w:sz w:val="24"/>
              </w:rPr>
              <w:t>gl.</w:t>
            </w:r>
          </w:p>
        </w:tc>
        <w:tc>
          <w:tcPr>
            <w:tcW w:w="1619" w:type="dxa"/>
            <w:tcBorders>
              <w:top w:val="single" w:sz="4" w:space="0" w:color="000000"/>
            </w:tcBorders>
          </w:tcPr>
          <w:p>
            <w:pPr>
              <w:pStyle w:val="TableParagraph"/>
              <w:spacing w:before="7"/>
              <w:rPr>
                <w:rFonts w:ascii="Times New Roman"/>
                <w:i/>
                <w:sz w:val="24"/>
              </w:rPr>
            </w:pPr>
          </w:p>
          <w:p>
            <w:pPr>
              <w:pStyle w:val="TableParagraph"/>
              <w:spacing w:before="1"/>
              <w:ind w:right="66"/>
              <w:jc w:val="right"/>
              <w:rPr>
                <w:rFonts w:ascii="Times New Roman"/>
                <w:sz w:val="24"/>
              </w:rPr>
            </w:pPr>
            <w:r>
              <w:rPr>
                <w:rFonts w:ascii="Times New Roman"/>
                <w:spacing w:val="-4"/>
                <w:sz w:val="24"/>
              </w:rPr>
              <w:t>Sig.</w:t>
            </w:r>
          </w:p>
        </w:tc>
        <w:tc>
          <w:tcPr>
            <w:tcW w:w="550" w:type="dxa"/>
            <w:tcBorders>
              <w:top w:val="single" w:sz="4" w:space="0" w:color="000000"/>
            </w:tcBorders>
          </w:tcPr>
          <w:p>
            <w:pPr>
              <w:pStyle w:val="TableParagraph"/>
              <w:rPr>
                <w:rFonts w:ascii="Times New Roman"/>
                <w:sz w:val="24"/>
              </w:rPr>
            </w:pPr>
          </w:p>
        </w:tc>
      </w:tr>
      <w:tr>
        <w:trPr>
          <w:trHeight w:val="800" w:hRule="atLeast"/>
        </w:trPr>
        <w:tc>
          <w:tcPr>
            <w:tcW w:w="5106" w:type="dxa"/>
          </w:tcPr>
          <w:p>
            <w:pPr>
              <w:pStyle w:val="TableParagraph"/>
              <w:spacing w:before="257"/>
              <w:ind w:left="66"/>
              <w:rPr>
                <w:rFonts w:ascii="Times New Roman"/>
                <w:sz w:val="24"/>
              </w:rPr>
            </w:pPr>
            <w:r>
              <w:rPr>
                <w:rFonts w:ascii="Times New Roman"/>
                <w:sz w:val="24"/>
              </w:rPr>
              <w:t>Transparencia</w:t>
            </w:r>
            <w:r>
              <w:rPr>
                <w:rFonts w:ascii="Times New Roman"/>
                <w:spacing w:val="-3"/>
                <w:sz w:val="24"/>
              </w:rPr>
              <w:t> </w:t>
            </w:r>
            <w:r>
              <w:rPr>
                <w:rFonts w:ascii="Times New Roman"/>
                <w:spacing w:val="-2"/>
                <w:sz w:val="24"/>
              </w:rPr>
              <w:t>Gubernamental</w:t>
            </w:r>
          </w:p>
        </w:tc>
        <w:tc>
          <w:tcPr>
            <w:tcW w:w="1522" w:type="dxa"/>
          </w:tcPr>
          <w:p>
            <w:pPr>
              <w:pStyle w:val="TableParagraph"/>
              <w:spacing w:before="257"/>
              <w:ind w:left="-19"/>
              <w:rPr>
                <w:rFonts w:ascii="Times New Roman"/>
                <w:sz w:val="24"/>
              </w:rPr>
            </w:pPr>
            <w:r>
              <w:rPr>
                <w:rFonts w:ascii="Times New Roman"/>
                <w:spacing w:val="-4"/>
                <w:sz w:val="24"/>
              </w:rPr>
              <w:t>,094</w:t>
            </w:r>
          </w:p>
        </w:tc>
        <w:tc>
          <w:tcPr>
            <w:tcW w:w="1619" w:type="dxa"/>
          </w:tcPr>
          <w:p>
            <w:pPr>
              <w:pStyle w:val="TableParagraph"/>
              <w:spacing w:before="257"/>
              <w:ind w:left="131"/>
              <w:rPr>
                <w:rFonts w:ascii="Times New Roman"/>
                <w:sz w:val="24"/>
              </w:rPr>
            </w:pPr>
            <w:r>
              <w:rPr>
                <w:rFonts w:ascii="Times New Roman"/>
                <w:spacing w:val="-5"/>
                <w:sz w:val="24"/>
              </w:rPr>
              <w:t>174</w:t>
            </w:r>
          </w:p>
        </w:tc>
        <w:tc>
          <w:tcPr>
            <w:tcW w:w="550" w:type="dxa"/>
          </w:tcPr>
          <w:p>
            <w:pPr>
              <w:pStyle w:val="TableParagraph"/>
              <w:spacing w:before="257"/>
              <w:ind w:left="4"/>
              <w:jc w:val="center"/>
              <w:rPr>
                <w:rFonts w:ascii="Times New Roman"/>
                <w:sz w:val="24"/>
              </w:rPr>
            </w:pPr>
            <w:r>
              <w:rPr>
                <w:rFonts w:ascii="Times New Roman"/>
                <w:spacing w:val="-4"/>
                <w:sz w:val="24"/>
              </w:rPr>
              <w:t>,200</w:t>
            </w:r>
          </w:p>
        </w:tc>
      </w:tr>
      <w:tr>
        <w:trPr>
          <w:trHeight w:val="772" w:hRule="atLeast"/>
        </w:trPr>
        <w:tc>
          <w:tcPr>
            <w:tcW w:w="5106" w:type="dxa"/>
            <w:tcBorders>
              <w:bottom w:val="single" w:sz="4" w:space="0" w:color="000000"/>
            </w:tcBorders>
          </w:tcPr>
          <w:p>
            <w:pPr>
              <w:pStyle w:val="TableParagraph"/>
              <w:spacing w:before="257"/>
              <w:ind w:left="66"/>
              <w:rPr>
                <w:rFonts w:ascii="Times New Roman" w:hAnsi="Times New Roman"/>
                <w:sz w:val="24"/>
              </w:rPr>
            </w:pPr>
            <w:r>
              <w:rPr>
                <w:rFonts w:ascii="Times New Roman" w:hAnsi="Times New Roman"/>
                <w:sz w:val="24"/>
              </w:rPr>
              <w:t>Gestión</w:t>
            </w:r>
            <w:r>
              <w:rPr>
                <w:rFonts w:ascii="Times New Roman" w:hAnsi="Times New Roman"/>
                <w:spacing w:val="-1"/>
                <w:sz w:val="24"/>
              </w:rPr>
              <w:t> </w:t>
            </w:r>
            <w:r>
              <w:rPr>
                <w:rFonts w:ascii="Times New Roman" w:hAnsi="Times New Roman"/>
                <w:sz w:val="24"/>
              </w:rPr>
              <w:t>de</w:t>
            </w:r>
            <w:r>
              <w:rPr>
                <w:rFonts w:ascii="Times New Roman" w:hAnsi="Times New Roman"/>
                <w:spacing w:val="-1"/>
                <w:sz w:val="24"/>
              </w:rPr>
              <w:t> </w:t>
            </w:r>
            <w:r>
              <w:rPr>
                <w:rFonts w:ascii="Times New Roman" w:hAnsi="Times New Roman"/>
                <w:sz w:val="24"/>
              </w:rPr>
              <w:t>recursos</w:t>
            </w:r>
            <w:r>
              <w:rPr>
                <w:rFonts w:ascii="Times New Roman" w:hAnsi="Times New Roman"/>
                <w:spacing w:val="-1"/>
                <w:sz w:val="24"/>
              </w:rPr>
              <w:t> </w:t>
            </w:r>
            <w:r>
              <w:rPr>
                <w:rFonts w:ascii="Times New Roman" w:hAnsi="Times New Roman"/>
                <w:spacing w:val="-2"/>
                <w:sz w:val="24"/>
              </w:rPr>
              <w:t>Humanos</w:t>
            </w:r>
          </w:p>
        </w:tc>
        <w:tc>
          <w:tcPr>
            <w:tcW w:w="1522" w:type="dxa"/>
            <w:tcBorders>
              <w:bottom w:val="single" w:sz="4" w:space="0" w:color="000000"/>
            </w:tcBorders>
          </w:tcPr>
          <w:p>
            <w:pPr>
              <w:pStyle w:val="TableParagraph"/>
              <w:spacing w:before="257"/>
              <w:ind w:left="-19"/>
              <w:rPr>
                <w:rFonts w:ascii="Times New Roman"/>
                <w:sz w:val="24"/>
              </w:rPr>
            </w:pPr>
            <w:r>
              <w:rPr>
                <w:rFonts w:ascii="Times New Roman"/>
                <w:spacing w:val="-4"/>
                <w:sz w:val="24"/>
              </w:rPr>
              <w:t>,139</w:t>
            </w:r>
          </w:p>
        </w:tc>
        <w:tc>
          <w:tcPr>
            <w:tcW w:w="1619" w:type="dxa"/>
            <w:tcBorders>
              <w:bottom w:val="single" w:sz="4" w:space="0" w:color="000000"/>
            </w:tcBorders>
          </w:tcPr>
          <w:p>
            <w:pPr>
              <w:pStyle w:val="TableParagraph"/>
              <w:spacing w:before="257"/>
              <w:ind w:left="131"/>
              <w:rPr>
                <w:rFonts w:ascii="Times New Roman"/>
                <w:sz w:val="24"/>
              </w:rPr>
            </w:pPr>
            <w:r>
              <w:rPr>
                <w:rFonts w:ascii="Times New Roman"/>
                <w:spacing w:val="-5"/>
                <w:sz w:val="24"/>
              </w:rPr>
              <w:t>174</w:t>
            </w:r>
          </w:p>
        </w:tc>
        <w:tc>
          <w:tcPr>
            <w:tcW w:w="550" w:type="dxa"/>
            <w:tcBorders>
              <w:bottom w:val="single" w:sz="4" w:space="0" w:color="000000"/>
            </w:tcBorders>
          </w:tcPr>
          <w:p>
            <w:pPr>
              <w:pStyle w:val="TableParagraph"/>
              <w:spacing w:before="257"/>
              <w:ind w:left="4"/>
              <w:jc w:val="center"/>
              <w:rPr>
                <w:rFonts w:ascii="Times New Roman"/>
                <w:sz w:val="24"/>
              </w:rPr>
            </w:pPr>
            <w:r>
              <w:rPr>
                <w:rFonts w:ascii="Times New Roman"/>
                <w:spacing w:val="-4"/>
                <w:sz w:val="24"/>
              </w:rPr>
              <w:t>,068</w:t>
            </w:r>
          </w:p>
        </w:tc>
      </w:tr>
    </w:tbl>
    <w:p>
      <w:pPr>
        <w:pStyle w:val="BodyText"/>
        <w:spacing w:line="480" w:lineRule="auto" w:before="241"/>
        <w:ind w:left="863" w:right="7097"/>
        <w:jc w:val="both"/>
      </w:pPr>
      <w:r>
        <w:rPr>
          <w:i/>
        </w:rPr>
        <w:t>Nota</w:t>
      </w:r>
      <w:r>
        <w:rPr/>
        <w:t>.</w:t>
      </w:r>
      <w:r>
        <w:rPr>
          <w:spacing w:val="-15"/>
        </w:rPr>
        <w:t> </w:t>
      </w:r>
      <w:r>
        <w:rPr/>
        <w:t>diseño</w:t>
      </w:r>
      <w:r>
        <w:rPr>
          <w:spacing w:val="-15"/>
        </w:rPr>
        <w:t> </w:t>
      </w:r>
      <w:r>
        <w:rPr/>
        <w:t>propio. </w:t>
      </w:r>
      <w:r>
        <w:rPr>
          <w:spacing w:val="-2"/>
        </w:rPr>
        <w:t>Interpretación:</w:t>
      </w:r>
    </w:p>
    <w:p>
      <w:pPr>
        <w:pStyle w:val="BodyText"/>
        <w:spacing w:line="480" w:lineRule="auto"/>
        <w:ind w:left="427" w:right="989" w:firstLine="720"/>
        <w:jc w:val="both"/>
      </w:pPr>
      <w:r>
        <w:rPr/>
        <w:t>Los valores de 0,200 de la primera variable y de la segunda de 0,068 mostrados en</w:t>
      </w:r>
      <w:r>
        <w:rPr>
          <w:spacing w:val="-1"/>
        </w:rPr>
        <w:t> </w:t>
      </w:r>
      <w:r>
        <w:rPr/>
        <w:t>la</w:t>
      </w:r>
      <w:r>
        <w:rPr>
          <w:spacing w:val="-2"/>
        </w:rPr>
        <w:t> </w:t>
      </w:r>
      <w:r>
        <w:rPr/>
        <w:t>tabla</w:t>
      </w:r>
      <w:r>
        <w:rPr>
          <w:spacing w:val="-1"/>
        </w:rPr>
        <w:t> </w:t>
      </w:r>
      <w:r>
        <w:rPr/>
        <w:t>7,</w:t>
      </w:r>
      <w:r>
        <w:rPr>
          <w:spacing w:val="-1"/>
        </w:rPr>
        <w:t> </w:t>
      </w:r>
      <w:r>
        <w:rPr/>
        <w:t>denotan</w:t>
      </w:r>
      <w:r>
        <w:rPr>
          <w:spacing w:val="-1"/>
        </w:rPr>
        <w:t> </w:t>
      </w:r>
      <w:r>
        <w:rPr/>
        <w:t>que</w:t>
      </w:r>
      <w:r>
        <w:rPr>
          <w:spacing w:val="-1"/>
        </w:rPr>
        <w:t> </w:t>
      </w:r>
      <w:r>
        <w:rPr/>
        <w:t>en</w:t>
      </w:r>
      <w:r>
        <w:rPr>
          <w:spacing w:val="-1"/>
        </w:rPr>
        <w:t> </w:t>
      </w:r>
      <w:r>
        <w:rPr/>
        <w:t>primera</w:t>
      </w:r>
      <w:r>
        <w:rPr>
          <w:spacing w:val="-2"/>
        </w:rPr>
        <w:t> </w:t>
      </w:r>
      <w:r>
        <w:rPr/>
        <w:t>instancia</w:t>
      </w:r>
      <w:r>
        <w:rPr>
          <w:spacing w:val="-2"/>
        </w:rPr>
        <w:t> </w:t>
      </w:r>
      <w:r>
        <w:rPr/>
        <w:t>no</w:t>
      </w:r>
      <w:r>
        <w:rPr>
          <w:spacing w:val="-1"/>
        </w:rPr>
        <w:t> </w:t>
      </w:r>
      <w:r>
        <w:rPr/>
        <w:t>existe</w:t>
      </w:r>
      <w:r>
        <w:rPr>
          <w:spacing w:val="-1"/>
        </w:rPr>
        <w:t> </w:t>
      </w:r>
      <w:r>
        <w:rPr/>
        <w:t>el</w:t>
      </w:r>
      <w:r>
        <w:rPr>
          <w:spacing w:val="-2"/>
        </w:rPr>
        <w:t> </w:t>
      </w:r>
      <w:r>
        <w:rPr/>
        <w:t>supuesto</w:t>
      </w:r>
      <w:r>
        <w:rPr>
          <w:spacing w:val="-1"/>
        </w:rPr>
        <w:t> </w:t>
      </w:r>
      <w:r>
        <w:rPr/>
        <w:t>de</w:t>
      </w:r>
      <w:r>
        <w:rPr>
          <w:spacing w:val="-1"/>
        </w:rPr>
        <w:t> </w:t>
      </w:r>
      <w:r>
        <w:rPr/>
        <w:t>normalidad,</w:t>
      </w:r>
      <w:r>
        <w:rPr>
          <w:spacing w:val="-1"/>
        </w:rPr>
        <w:t> </w:t>
      </w:r>
      <w:r>
        <w:rPr/>
        <w:t>y</w:t>
      </w:r>
      <w:r>
        <w:rPr>
          <w:spacing w:val="-1"/>
        </w:rPr>
        <w:t> </w:t>
      </w:r>
      <w:r>
        <w:rPr/>
        <w:t>en segunda</w:t>
      </w:r>
      <w:r>
        <w:rPr>
          <w:spacing w:val="-6"/>
        </w:rPr>
        <w:t> </w:t>
      </w:r>
      <w:r>
        <w:rPr/>
        <w:t>si</w:t>
      </w:r>
      <w:r>
        <w:rPr>
          <w:spacing w:val="-4"/>
        </w:rPr>
        <w:t> </w:t>
      </w:r>
      <w:r>
        <w:rPr/>
        <w:t>lo</w:t>
      </w:r>
      <w:r>
        <w:rPr>
          <w:spacing w:val="-4"/>
        </w:rPr>
        <w:t> </w:t>
      </w:r>
      <w:r>
        <w:rPr/>
        <w:t>hace,</w:t>
      </w:r>
      <w:r>
        <w:rPr>
          <w:spacing w:val="-3"/>
        </w:rPr>
        <w:t> </w:t>
      </w:r>
      <w:r>
        <w:rPr/>
        <w:t>Por</w:t>
      </w:r>
      <w:r>
        <w:rPr>
          <w:spacing w:val="-3"/>
        </w:rPr>
        <w:t> </w:t>
      </w:r>
      <w:r>
        <w:rPr/>
        <w:t>esta</w:t>
      </w:r>
      <w:r>
        <w:rPr>
          <w:spacing w:val="-5"/>
        </w:rPr>
        <w:t> </w:t>
      </w:r>
      <w:r>
        <w:rPr/>
        <w:t>razón,</w:t>
      </w:r>
      <w:r>
        <w:rPr>
          <w:spacing w:val="-3"/>
        </w:rPr>
        <w:t> </w:t>
      </w:r>
      <w:r>
        <w:rPr/>
        <w:t>se</w:t>
      </w:r>
      <w:r>
        <w:rPr>
          <w:spacing w:val="-2"/>
        </w:rPr>
        <w:t> </w:t>
      </w:r>
      <w:r>
        <w:rPr/>
        <w:t>optó</w:t>
      </w:r>
      <w:r>
        <w:rPr>
          <w:spacing w:val="-3"/>
        </w:rPr>
        <w:t> </w:t>
      </w:r>
      <w:r>
        <w:rPr/>
        <w:t>por</w:t>
      </w:r>
      <w:r>
        <w:rPr>
          <w:spacing w:val="-3"/>
        </w:rPr>
        <w:t> </w:t>
      </w:r>
      <w:r>
        <w:rPr/>
        <w:t>utilizar</w:t>
      </w:r>
      <w:r>
        <w:rPr>
          <w:spacing w:val="-4"/>
        </w:rPr>
        <w:t> </w:t>
      </w:r>
      <w:r>
        <w:rPr/>
        <w:t>el</w:t>
      </w:r>
      <w:r>
        <w:rPr>
          <w:spacing w:val="-4"/>
        </w:rPr>
        <w:t> </w:t>
      </w:r>
      <w:r>
        <w:rPr/>
        <w:t>factor</w:t>
      </w:r>
      <w:r>
        <w:rPr>
          <w:spacing w:val="-3"/>
        </w:rPr>
        <w:t> </w:t>
      </w:r>
      <w:r>
        <w:rPr/>
        <w:t>de</w:t>
      </w:r>
      <w:r>
        <w:rPr>
          <w:spacing w:val="-4"/>
        </w:rPr>
        <w:t> </w:t>
      </w:r>
      <w:r>
        <w:rPr/>
        <w:t>regresión</w:t>
      </w:r>
      <w:r>
        <w:rPr>
          <w:spacing w:val="-3"/>
        </w:rPr>
        <w:t> </w:t>
      </w:r>
      <w:r>
        <w:rPr>
          <w:spacing w:val="-2"/>
        </w:rPr>
        <w:t>multinomial.</w:t>
      </w:r>
    </w:p>
    <w:p>
      <w:pPr>
        <w:pStyle w:val="BodyText"/>
        <w:spacing w:after="0" w:line="480" w:lineRule="auto"/>
        <w:jc w:val="both"/>
        <w:sectPr>
          <w:headerReference w:type="default" r:id="rId57"/>
          <w:footerReference w:type="default" r:id="rId58"/>
          <w:pgSz w:w="11910" w:h="16840"/>
          <w:pgMar w:header="0" w:footer="693" w:top="0" w:bottom="880" w:left="1559" w:right="425"/>
        </w:sectPr>
      </w:pPr>
    </w:p>
    <w:p>
      <w:pPr>
        <w:pStyle w:val="Heading3"/>
        <w:spacing w:before="66"/>
        <w:ind w:left="863"/>
      </w:pPr>
      <w:bookmarkStart w:name="_bookmark73" w:id="74"/>
      <w:bookmarkEnd w:id="74"/>
      <w:r>
        <w:rPr>
          <w:b w:val="0"/>
        </w:rPr>
      </w:r>
      <w:r>
        <w:rPr/>
        <w:t>Tabla </w:t>
      </w:r>
      <w:r>
        <w:rPr>
          <w:spacing w:val="-10"/>
        </w:rPr>
        <w:t>8</w:t>
      </w:r>
    </w:p>
    <w:p>
      <w:pPr>
        <w:pStyle w:val="BodyText"/>
        <w:rPr>
          <w:b/>
        </w:rPr>
      </w:pPr>
    </w:p>
    <w:p>
      <w:pPr>
        <w:spacing w:before="0"/>
        <w:ind w:left="863" w:right="0" w:firstLine="0"/>
        <w:jc w:val="left"/>
        <w:rPr>
          <w:i/>
          <w:sz w:val="24"/>
        </w:rPr>
      </w:pPr>
      <w:r>
        <w:rPr>
          <w:i/>
          <w:sz w:val="24"/>
        </w:rPr>
        <w:t>Estadísticos</w:t>
      </w:r>
      <w:r>
        <w:rPr>
          <w:i/>
          <w:spacing w:val="-3"/>
          <w:sz w:val="24"/>
        </w:rPr>
        <w:t> </w:t>
      </w:r>
      <w:r>
        <w:rPr>
          <w:i/>
          <w:sz w:val="24"/>
        </w:rPr>
        <w:t>de prueba</w:t>
      </w:r>
      <w:r>
        <w:rPr>
          <w:i/>
          <w:spacing w:val="-1"/>
          <w:sz w:val="24"/>
        </w:rPr>
        <w:t> </w:t>
      </w:r>
      <w:r>
        <w:rPr>
          <w:i/>
          <w:sz w:val="24"/>
        </w:rPr>
        <w:t>de regresión</w:t>
      </w:r>
      <w:r>
        <w:rPr>
          <w:i/>
          <w:spacing w:val="-1"/>
          <w:sz w:val="24"/>
        </w:rPr>
        <w:t> </w:t>
      </w:r>
      <w:r>
        <w:rPr>
          <w:i/>
          <w:sz w:val="24"/>
        </w:rPr>
        <w:t>multinomial Objetivo </w:t>
      </w:r>
      <w:r>
        <w:rPr>
          <w:i/>
          <w:spacing w:val="-2"/>
          <w:sz w:val="24"/>
        </w:rPr>
        <w:t>General</w:t>
      </w:r>
    </w:p>
    <w:p>
      <w:pPr>
        <w:pStyle w:val="BodyText"/>
        <w:spacing w:before="32"/>
        <w:rPr>
          <w:i/>
          <w:sz w:val="20"/>
        </w:rPr>
      </w:pPr>
      <w:r>
        <w:rPr>
          <w:i/>
          <w:sz w:val="20"/>
        </w:rPr>
        <w:drawing>
          <wp:anchor distT="0" distB="0" distL="0" distR="0" allowOverlap="1" layoutInCell="1" locked="0" behindDoc="1" simplePos="0" relativeHeight="487617024">
            <wp:simplePos x="0" y="0"/>
            <wp:positionH relativeFrom="page">
              <wp:posOffset>1563201</wp:posOffset>
            </wp:positionH>
            <wp:positionV relativeFrom="paragraph">
              <wp:posOffset>182025</wp:posOffset>
            </wp:positionV>
            <wp:extent cx="5673912" cy="4644009"/>
            <wp:effectExtent l="0" t="0" r="0" b="0"/>
            <wp:wrapTopAndBottom/>
            <wp:docPr id="159" name="Image 159"/>
            <wp:cNvGraphicFramePr>
              <a:graphicFrameLocks/>
            </wp:cNvGraphicFramePr>
            <a:graphic>
              <a:graphicData uri="http://schemas.openxmlformats.org/drawingml/2006/picture">
                <pic:pic>
                  <pic:nvPicPr>
                    <pic:cNvPr id="159" name="Image 159"/>
                    <pic:cNvPicPr/>
                  </pic:nvPicPr>
                  <pic:blipFill>
                    <a:blip r:embed="rId61" cstate="print"/>
                    <a:stretch>
                      <a:fillRect/>
                    </a:stretch>
                  </pic:blipFill>
                  <pic:spPr>
                    <a:xfrm>
                      <a:off x="0" y="0"/>
                      <a:ext cx="5673912" cy="4644009"/>
                    </a:xfrm>
                    <a:prstGeom prst="rect">
                      <a:avLst/>
                    </a:prstGeom>
                  </pic:spPr>
                </pic:pic>
              </a:graphicData>
            </a:graphic>
          </wp:anchor>
        </w:drawing>
      </w:r>
      <w:r>
        <w:rPr>
          <w:i/>
          <w:sz w:val="20"/>
        </w:rPr>
        <w:drawing>
          <wp:anchor distT="0" distB="0" distL="0" distR="0" allowOverlap="1" layoutInCell="1" locked="0" behindDoc="1" simplePos="0" relativeHeight="487617536">
            <wp:simplePos x="0" y="0"/>
            <wp:positionH relativeFrom="page">
              <wp:posOffset>1562735</wp:posOffset>
            </wp:positionH>
            <wp:positionV relativeFrom="paragraph">
              <wp:posOffset>4879638</wp:posOffset>
            </wp:positionV>
            <wp:extent cx="5675548" cy="1703451"/>
            <wp:effectExtent l="0" t="0" r="0" b="0"/>
            <wp:wrapTopAndBottom/>
            <wp:docPr id="160" name="Image 160"/>
            <wp:cNvGraphicFramePr>
              <a:graphicFrameLocks/>
            </wp:cNvGraphicFramePr>
            <a:graphic>
              <a:graphicData uri="http://schemas.openxmlformats.org/drawingml/2006/picture">
                <pic:pic>
                  <pic:nvPicPr>
                    <pic:cNvPr id="160" name="Image 160"/>
                    <pic:cNvPicPr/>
                  </pic:nvPicPr>
                  <pic:blipFill>
                    <a:blip r:embed="rId62" cstate="print"/>
                    <a:stretch>
                      <a:fillRect/>
                    </a:stretch>
                  </pic:blipFill>
                  <pic:spPr>
                    <a:xfrm>
                      <a:off x="0" y="0"/>
                      <a:ext cx="5675548" cy="1703451"/>
                    </a:xfrm>
                    <a:prstGeom prst="rect">
                      <a:avLst/>
                    </a:prstGeom>
                  </pic:spPr>
                </pic:pic>
              </a:graphicData>
            </a:graphic>
          </wp:anchor>
        </w:drawing>
      </w:r>
    </w:p>
    <w:p>
      <w:pPr>
        <w:pStyle w:val="BodyText"/>
        <w:spacing w:before="2"/>
        <w:rPr>
          <w:i/>
          <w:sz w:val="5"/>
        </w:rPr>
      </w:pPr>
    </w:p>
    <w:p>
      <w:pPr>
        <w:spacing w:before="20"/>
        <w:ind w:left="863" w:right="0" w:firstLine="0"/>
        <w:jc w:val="left"/>
        <w:rPr>
          <w:rFonts w:ascii="Arial MT" w:hAnsi="Arial MT"/>
          <w:sz w:val="22"/>
        </w:rPr>
      </w:pPr>
      <w:r>
        <w:rPr>
          <w:rFonts w:ascii="Arial" w:hAnsi="Arial"/>
          <w:i/>
          <w:sz w:val="22"/>
        </w:rPr>
        <w:t>Nota:</w:t>
      </w:r>
      <w:r>
        <w:rPr>
          <w:rFonts w:ascii="Arial" w:hAnsi="Arial"/>
          <w:i/>
          <w:spacing w:val="-5"/>
          <w:sz w:val="22"/>
        </w:rPr>
        <w:t> </w:t>
      </w:r>
      <w:r>
        <w:rPr>
          <w:rFonts w:ascii="Arial MT" w:hAnsi="Arial MT"/>
          <w:sz w:val="22"/>
        </w:rPr>
        <w:t>Hallazgos</w:t>
      </w:r>
      <w:r>
        <w:rPr>
          <w:rFonts w:ascii="Arial MT" w:hAnsi="Arial MT"/>
          <w:spacing w:val="-4"/>
          <w:sz w:val="22"/>
        </w:rPr>
        <w:t> </w:t>
      </w:r>
      <w:r>
        <w:rPr>
          <w:rFonts w:ascii="Arial MT" w:hAnsi="Arial MT"/>
          <w:sz w:val="22"/>
        </w:rPr>
        <w:t>de</w:t>
      </w:r>
      <w:r>
        <w:rPr>
          <w:rFonts w:ascii="Arial MT" w:hAnsi="Arial MT"/>
          <w:spacing w:val="-5"/>
          <w:sz w:val="22"/>
        </w:rPr>
        <w:t> </w:t>
      </w:r>
      <w:r>
        <w:rPr>
          <w:rFonts w:ascii="Arial MT" w:hAnsi="Arial MT"/>
          <w:sz w:val="22"/>
        </w:rPr>
        <w:t>pruebas</w:t>
      </w:r>
      <w:r>
        <w:rPr>
          <w:rFonts w:ascii="Arial MT" w:hAnsi="Arial MT"/>
          <w:spacing w:val="-4"/>
          <w:sz w:val="22"/>
        </w:rPr>
        <w:t> </w:t>
      </w:r>
      <w:r>
        <w:rPr>
          <w:rFonts w:ascii="Arial MT" w:hAnsi="Arial MT"/>
          <w:sz w:val="22"/>
        </w:rPr>
        <w:t>de</w:t>
      </w:r>
      <w:r>
        <w:rPr>
          <w:rFonts w:ascii="Arial MT" w:hAnsi="Arial MT"/>
          <w:spacing w:val="-5"/>
          <w:sz w:val="22"/>
        </w:rPr>
        <w:t> </w:t>
      </w:r>
      <w:r>
        <w:rPr>
          <w:rFonts w:ascii="Arial MT" w:hAnsi="Arial MT"/>
          <w:sz w:val="22"/>
        </w:rPr>
        <w:t>regresión</w:t>
      </w:r>
      <w:r>
        <w:rPr>
          <w:rFonts w:ascii="Arial MT" w:hAnsi="Arial MT"/>
          <w:spacing w:val="-4"/>
          <w:sz w:val="22"/>
        </w:rPr>
        <w:t> </w:t>
      </w:r>
      <w:r>
        <w:rPr>
          <w:rFonts w:ascii="Arial MT" w:hAnsi="Arial MT"/>
          <w:sz w:val="22"/>
        </w:rPr>
        <w:t>multinomial</w:t>
      </w:r>
      <w:r>
        <w:rPr>
          <w:rFonts w:ascii="Arial MT" w:hAnsi="Arial MT"/>
          <w:spacing w:val="-5"/>
          <w:sz w:val="22"/>
        </w:rPr>
        <w:t> </w:t>
      </w:r>
      <w:r>
        <w:rPr>
          <w:rFonts w:ascii="Arial MT" w:hAnsi="Arial MT"/>
          <w:spacing w:val="-2"/>
          <w:sz w:val="22"/>
        </w:rPr>
        <w:t>SpssV27.</w:t>
      </w:r>
    </w:p>
    <w:p>
      <w:pPr>
        <w:pStyle w:val="Heading3"/>
        <w:spacing w:before="251"/>
        <w:ind w:left="863"/>
      </w:pPr>
      <w:r>
        <w:rPr>
          <w:spacing w:val="-2"/>
        </w:rPr>
        <w:t>Interpretación:</w:t>
      </w:r>
    </w:p>
    <w:p>
      <w:pPr>
        <w:pStyle w:val="BodyText"/>
        <w:spacing w:before="1"/>
        <w:rPr>
          <w:b/>
        </w:rPr>
      </w:pPr>
    </w:p>
    <w:p>
      <w:pPr>
        <w:pStyle w:val="BodyText"/>
        <w:spacing w:line="480" w:lineRule="auto"/>
        <w:ind w:left="851" w:firstLine="720"/>
      </w:pPr>
      <w:r>
        <w:rPr/>
        <w:t>Determinar</w:t>
      </w:r>
      <w:r>
        <w:rPr>
          <w:spacing w:val="-12"/>
        </w:rPr>
        <w:t> </w:t>
      </w:r>
      <w:r>
        <w:rPr/>
        <w:t>la</w:t>
      </w:r>
      <w:r>
        <w:rPr>
          <w:spacing w:val="-15"/>
        </w:rPr>
        <w:t> </w:t>
      </w:r>
      <w:r>
        <w:rPr/>
        <w:t>Influencia</w:t>
      </w:r>
      <w:r>
        <w:rPr>
          <w:spacing w:val="-14"/>
        </w:rPr>
        <w:t> </w:t>
      </w:r>
      <w:r>
        <w:rPr/>
        <w:t>del</w:t>
      </w:r>
      <w:r>
        <w:rPr>
          <w:spacing w:val="-15"/>
        </w:rPr>
        <w:t> </w:t>
      </w:r>
      <w:r>
        <w:rPr/>
        <w:t>Impuesto</w:t>
      </w:r>
      <w:r>
        <w:rPr>
          <w:spacing w:val="-14"/>
        </w:rPr>
        <w:t> </w:t>
      </w:r>
      <w:r>
        <w:rPr/>
        <w:t>General</w:t>
      </w:r>
      <w:r>
        <w:rPr>
          <w:spacing w:val="-14"/>
        </w:rPr>
        <w:t> </w:t>
      </w:r>
      <w:r>
        <w:rPr/>
        <w:t>de</w:t>
      </w:r>
      <w:r>
        <w:rPr>
          <w:spacing w:val="-12"/>
        </w:rPr>
        <w:t> </w:t>
      </w:r>
      <w:r>
        <w:rPr/>
        <w:t>las</w:t>
      </w:r>
      <w:r>
        <w:rPr>
          <w:spacing w:val="-13"/>
        </w:rPr>
        <w:t> </w:t>
      </w:r>
      <w:r>
        <w:rPr/>
        <w:t>Ventas</w:t>
      </w:r>
      <w:r>
        <w:rPr>
          <w:spacing w:val="-13"/>
        </w:rPr>
        <w:t> </w:t>
      </w:r>
      <w:r>
        <w:rPr/>
        <w:t>en</w:t>
      </w:r>
      <w:r>
        <w:rPr>
          <w:spacing w:val="-14"/>
        </w:rPr>
        <w:t> </w:t>
      </w:r>
      <w:r>
        <w:rPr/>
        <w:t>la</w:t>
      </w:r>
      <w:r>
        <w:rPr>
          <w:spacing w:val="-15"/>
        </w:rPr>
        <w:t> </w:t>
      </w:r>
      <w:r>
        <w:rPr/>
        <w:t>Percepción Económica</w:t>
      </w:r>
      <w:r>
        <w:rPr>
          <w:spacing w:val="-8"/>
        </w:rPr>
        <w:t> </w:t>
      </w:r>
      <w:r>
        <w:rPr/>
        <w:t>de</w:t>
      </w:r>
      <w:r>
        <w:rPr>
          <w:spacing w:val="-5"/>
        </w:rPr>
        <w:t> </w:t>
      </w:r>
      <w:r>
        <w:rPr/>
        <w:t>los</w:t>
      </w:r>
      <w:r>
        <w:rPr>
          <w:spacing w:val="-2"/>
        </w:rPr>
        <w:t> </w:t>
      </w:r>
      <w:r>
        <w:rPr/>
        <w:t>comerciantes</w:t>
      </w:r>
      <w:r>
        <w:rPr>
          <w:spacing w:val="-4"/>
        </w:rPr>
        <w:t> </w:t>
      </w:r>
      <w:r>
        <w:rPr/>
        <w:t>del</w:t>
      </w:r>
      <w:r>
        <w:rPr>
          <w:spacing w:val="-5"/>
        </w:rPr>
        <w:t> </w:t>
      </w:r>
      <w:r>
        <w:rPr/>
        <w:t>centro</w:t>
      </w:r>
      <w:r>
        <w:rPr>
          <w:spacing w:val="-5"/>
        </w:rPr>
        <w:t> </w:t>
      </w:r>
      <w:r>
        <w:rPr/>
        <w:t>de</w:t>
      </w:r>
      <w:r>
        <w:rPr>
          <w:spacing w:val="-5"/>
        </w:rPr>
        <w:t> </w:t>
      </w:r>
      <w:r>
        <w:rPr/>
        <w:t>abastos</w:t>
      </w:r>
      <w:r>
        <w:rPr>
          <w:spacing w:val="-3"/>
        </w:rPr>
        <w:t> </w:t>
      </w:r>
      <w:r>
        <w:rPr/>
        <w:t>Las</w:t>
      </w:r>
      <w:r>
        <w:rPr>
          <w:spacing w:val="-4"/>
        </w:rPr>
        <w:t> </w:t>
      </w:r>
      <w:r>
        <w:rPr/>
        <w:t>Mercedes</w:t>
      </w:r>
      <w:r>
        <w:rPr>
          <w:spacing w:val="-3"/>
        </w:rPr>
        <w:t> </w:t>
      </w:r>
      <w:r>
        <w:rPr/>
        <w:t>de</w:t>
      </w:r>
      <w:r>
        <w:rPr>
          <w:spacing w:val="-5"/>
        </w:rPr>
        <w:t> </w:t>
      </w:r>
      <w:r>
        <w:rPr/>
        <w:t>Juliaca,</w:t>
      </w:r>
      <w:r>
        <w:rPr>
          <w:spacing w:val="-4"/>
        </w:rPr>
        <w:t> 2023</w:t>
      </w:r>
    </w:p>
    <w:p>
      <w:pPr>
        <w:pStyle w:val="BodyText"/>
        <w:spacing w:after="0" w:line="480" w:lineRule="auto"/>
        <w:sectPr>
          <w:headerReference w:type="default" r:id="rId59"/>
          <w:footerReference w:type="default" r:id="rId60"/>
          <w:pgSz w:w="11910" w:h="16840"/>
          <w:pgMar w:header="0" w:footer="693" w:top="1340" w:bottom="880" w:left="1559" w:right="425"/>
          <w:pgNumType w:start="49"/>
        </w:sectPr>
      </w:pPr>
    </w:p>
    <w:p>
      <w:pPr>
        <w:pStyle w:val="BodyText"/>
        <w:spacing w:line="480" w:lineRule="auto" w:before="66"/>
        <w:ind w:left="851" w:right="989" w:firstLine="720"/>
        <w:jc w:val="both"/>
      </w:pPr>
      <w:r>
        <w:rPr/>
        <w:t>La regresión multinomial muestra que el Impuesto General de las Ventas tiene una influencia significativa sobre las diferentes categorías de la percepción económica.</w:t>
      </w:r>
      <w:r>
        <w:rPr>
          <w:spacing w:val="-4"/>
        </w:rPr>
        <w:t> </w:t>
      </w:r>
      <w:r>
        <w:rPr/>
        <w:t>Las</w:t>
      </w:r>
      <w:r>
        <w:rPr>
          <w:spacing w:val="-4"/>
        </w:rPr>
        <w:t> </w:t>
      </w:r>
      <w:r>
        <w:rPr/>
        <w:t>dimensiones</w:t>
      </w:r>
      <w:r>
        <w:rPr>
          <w:spacing w:val="-4"/>
        </w:rPr>
        <w:t> </w:t>
      </w:r>
      <w:r>
        <w:rPr/>
        <w:t>evaluadas</w:t>
      </w:r>
      <w:r>
        <w:rPr>
          <w:spacing w:val="-4"/>
        </w:rPr>
        <w:t> </w:t>
      </w:r>
      <w:r>
        <w:rPr/>
        <w:t>(estabilidad,</w:t>
      </w:r>
      <w:r>
        <w:rPr>
          <w:spacing w:val="-4"/>
        </w:rPr>
        <w:t> </w:t>
      </w:r>
      <w:r>
        <w:rPr/>
        <w:t>liquidez</w:t>
      </w:r>
      <w:r>
        <w:rPr>
          <w:spacing w:val="-6"/>
        </w:rPr>
        <w:t> </w:t>
      </w:r>
      <w:r>
        <w:rPr/>
        <w:t>y</w:t>
      </w:r>
      <w:r>
        <w:rPr>
          <w:spacing w:val="-3"/>
        </w:rPr>
        <w:t> </w:t>
      </w:r>
      <w:r>
        <w:rPr/>
        <w:t>seguridad)</w:t>
      </w:r>
      <w:r>
        <w:rPr>
          <w:spacing w:val="-4"/>
        </w:rPr>
        <w:t> </w:t>
      </w:r>
      <w:r>
        <w:rPr/>
        <w:t>presentan coeficientes</w:t>
      </w:r>
      <w:r>
        <w:rPr>
          <w:spacing w:val="-12"/>
        </w:rPr>
        <w:t> </w:t>
      </w:r>
      <w:r>
        <w:rPr/>
        <w:t>tanto</w:t>
      </w:r>
      <w:r>
        <w:rPr>
          <w:spacing w:val="-13"/>
        </w:rPr>
        <w:t> </w:t>
      </w:r>
      <w:r>
        <w:rPr/>
        <w:t>positivos</w:t>
      </w:r>
      <w:r>
        <w:rPr>
          <w:spacing w:val="-14"/>
        </w:rPr>
        <w:t> </w:t>
      </w:r>
      <w:r>
        <w:rPr/>
        <w:t>como</w:t>
      </w:r>
      <w:r>
        <w:rPr>
          <w:spacing w:val="-13"/>
        </w:rPr>
        <w:t> </w:t>
      </w:r>
      <w:r>
        <w:rPr/>
        <w:t>negativos</w:t>
      </w:r>
      <w:r>
        <w:rPr>
          <w:spacing w:val="-14"/>
        </w:rPr>
        <w:t> </w:t>
      </w:r>
      <w:r>
        <w:rPr/>
        <w:t>que</w:t>
      </w:r>
      <w:r>
        <w:rPr>
          <w:spacing w:val="-15"/>
        </w:rPr>
        <w:t> </w:t>
      </w:r>
      <w:r>
        <w:rPr/>
        <w:t>reflejan</w:t>
      </w:r>
      <w:r>
        <w:rPr>
          <w:spacing w:val="-12"/>
        </w:rPr>
        <w:t> </w:t>
      </w:r>
      <w:r>
        <w:rPr/>
        <w:t>cómo</w:t>
      </w:r>
      <w:r>
        <w:rPr>
          <w:spacing w:val="-12"/>
        </w:rPr>
        <w:t> </w:t>
      </w:r>
      <w:r>
        <w:rPr/>
        <w:t>este</w:t>
      </w:r>
      <w:r>
        <w:rPr>
          <w:spacing w:val="-15"/>
        </w:rPr>
        <w:t> </w:t>
      </w:r>
      <w:r>
        <w:rPr/>
        <w:t>impuesto</w:t>
      </w:r>
      <w:r>
        <w:rPr>
          <w:spacing w:val="-13"/>
        </w:rPr>
        <w:t> </w:t>
      </w:r>
      <w:r>
        <w:rPr/>
        <w:t>impacta de manera diferenciada. Por ejemplo, niveles altos de liquidez y estabilidad se asocian con probabilidades incrementadas de percepciones económicas favorables, mientras que niveles bajos o extremos en seguridad pueden disminuir estas probabilidades. Esto sugiere que el efecto del impuesto es mediado por estas dimensiones y su interacción con factores específicos del entorno comercial.</w:t>
      </w:r>
    </w:p>
    <w:p>
      <w:pPr>
        <w:pStyle w:val="Heading3"/>
        <w:spacing w:before="1"/>
        <w:ind w:left="863"/>
        <w:jc w:val="both"/>
      </w:pPr>
      <w:r>
        <w:rPr/>
        <w:t>Tabla </w:t>
      </w:r>
      <w:r>
        <w:rPr>
          <w:spacing w:val="-10"/>
        </w:rPr>
        <w:t>9</w:t>
      </w:r>
    </w:p>
    <w:p>
      <w:pPr>
        <w:pStyle w:val="BodyText"/>
        <w:rPr>
          <w:b/>
        </w:rPr>
      </w:pPr>
    </w:p>
    <w:p>
      <w:pPr>
        <w:spacing w:before="1"/>
        <w:ind w:left="863" w:right="0" w:firstLine="0"/>
        <w:jc w:val="both"/>
        <w:rPr>
          <w:i/>
          <w:sz w:val="24"/>
        </w:rPr>
      </w:pPr>
      <w:r>
        <w:rPr>
          <w:i/>
          <w:sz w:val="24"/>
        </w:rPr>
        <w:t>Estadísticos</w:t>
      </w:r>
      <w:r>
        <w:rPr>
          <w:i/>
          <w:spacing w:val="-3"/>
          <w:sz w:val="24"/>
        </w:rPr>
        <w:t> </w:t>
      </w:r>
      <w:r>
        <w:rPr>
          <w:i/>
          <w:sz w:val="24"/>
        </w:rPr>
        <w:t>de</w:t>
      </w:r>
      <w:r>
        <w:rPr>
          <w:i/>
          <w:spacing w:val="-1"/>
          <w:sz w:val="24"/>
        </w:rPr>
        <w:t> </w:t>
      </w:r>
      <w:r>
        <w:rPr>
          <w:i/>
          <w:sz w:val="24"/>
        </w:rPr>
        <w:t>prueba de</w:t>
      </w:r>
      <w:r>
        <w:rPr>
          <w:i/>
          <w:spacing w:val="-1"/>
          <w:sz w:val="24"/>
        </w:rPr>
        <w:t> </w:t>
      </w:r>
      <w:r>
        <w:rPr>
          <w:i/>
          <w:sz w:val="24"/>
        </w:rPr>
        <w:t>regresión</w:t>
      </w:r>
      <w:r>
        <w:rPr>
          <w:i/>
          <w:spacing w:val="-1"/>
          <w:sz w:val="24"/>
        </w:rPr>
        <w:t> </w:t>
      </w:r>
      <w:r>
        <w:rPr>
          <w:i/>
          <w:sz w:val="24"/>
        </w:rPr>
        <w:t>multinomial Objetivo</w:t>
      </w:r>
      <w:r>
        <w:rPr>
          <w:i/>
          <w:spacing w:val="-1"/>
          <w:sz w:val="24"/>
        </w:rPr>
        <w:t> </w:t>
      </w:r>
      <w:r>
        <w:rPr>
          <w:i/>
          <w:sz w:val="24"/>
        </w:rPr>
        <w:t>Especifico </w:t>
      </w:r>
      <w:r>
        <w:rPr>
          <w:i/>
          <w:spacing w:val="-10"/>
          <w:sz w:val="24"/>
        </w:rPr>
        <w:t>1</w:t>
      </w:r>
    </w:p>
    <w:p>
      <w:pPr>
        <w:pStyle w:val="BodyText"/>
        <w:spacing w:before="5"/>
        <w:rPr>
          <w:i/>
          <w:sz w:val="6"/>
        </w:rPr>
      </w:pPr>
      <w:r>
        <w:rPr>
          <w:i/>
          <w:sz w:val="6"/>
        </w:rPr>
        <w:drawing>
          <wp:anchor distT="0" distB="0" distL="0" distR="0" allowOverlap="1" layoutInCell="1" locked="0" behindDoc="1" simplePos="0" relativeHeight="487618048">
            <wp:simplePos x="0" y="0"/>
            <wp:positionH relativeFrom="page">
              <wp:posOffset>1566436</wp:posOffset>
            </wp:positionH>
            <wp:positionV relativeFrom="paragraph">
              <wp:posOffset>62542</wp:posOffset>
            </wp:positionV>
            <wp:extent cx="5673701" cy="4307205"/>
            <wp:effectExtent l="0" t="0" r="0" b="0"/>
            <wp:wrapTopAndBottom/>
            <wp:docPr id="161" name="Image 161"/>
            <wp:cNvGraphicFramePr>
              <a:graphicFrameLocks/>
            </wp:cNvGraphicFramePr>
            <a:graphic>
              <a:graphicData uri="http://schemas.openxmlformats.org/drawingml/2006/picture">
                <pic:pic>
                  <pic:nvPicPr>
                    <pic:cNvPr id="161" name="Image 161"/>
                    <pic:cNvPicPr/>
                  </pic:nvPicPr>
                  <pic:blipFill>
                    <a:blip r:embed="rId63" cstate="print"/>
                    <a:stretch>
                      <a:fillRect/>
                    </a:stretch>
                  </pic:blipFill>
                  <pic:spPr>
                    <a:xfrm>
                      <a:off x="0" y="0"/>
                      <a:ext cx="5673701" cy="4307205"/>
                    </a:xfrm>
                    <a:prstGeom prst="rect">
                      <a:avLst/>
                    </a:prstGeom>
                  </pic:spPr>
                </pic:pic>
              </a:graphicData>
            </a:graphic>
          </wp:anchor>
        </w:drawing>
      </w:r>
    </w:p>
    <w:p>
      <w:pPr>
        <w:spacing w:before="8"/>
        <w:ind w:left="863" w:right="0" w:firstLine="0"/>
        <w:jc w:val="both"/>
        <w:rPr>
          <w:rFonts w:ascii="Arial MT" w:hAnsi="Arial MT"/>
          <w:sz w:val="22"/>
        </w:rPr>
      </w:pPr>
      <w:r>
        <w:rPr>
          <w:rFonts w:ascii="Arial" w:hAnsi="Arial"/>
          <w:i/>
          <w:sz w:val="22"/>
        </w:rPr>
        <w:t>Nota:</w:t>
      </w:r>
      <w:r>
        <w:rPr>
          <w:rFonts w:ascii="Arial" w:hAnsi="Arial"/>
          <w:i/>
          <w:spacing w:val="-5"/>
          <w:sz w:val="22"/>
        </w:rPr>
        <w:t> </w:t>
      </w:r>
      <w:r>
        <w:rPr>
          <w:rFonts w:ascii="Arial MT" w:hAnsi="Arial MT"/>
          <w:sz w:val="22"/>
        </w:rPr>
        <w:t>Hallazgos</w:t>
      </w:r>
      <w:r>
        <w:rPr>
          <w:rFonts w:ascii="Arial MT" w:hAnsi="Arial MT"/>
          <w:spacing w:val="-4"/>
          <w:sz w:val="22"/>
        </w:rPr>
        <w:t> </w:t>
      </w:r>
      <w:r>
        <w:rPr>
          <w:rFonts w:ascii="Arial MT" w:hAnsi="Arial MT"/>
          <w:sz w:val="22"/>
        </w:rPr>
        <w:t>de</w:t>
      </w:r>
      <w:r>
        <w:rPr>
          <w:rFonts w:ascii="Arial MT" w:hAnsi="Arial MT"/>
          <w:spacing w:val="-5"/>
          <w:sz w:val="22"/>
        </w:rPr>
        <w:t> </w:t>
      </w:r>
      <w:r>
        <w:rPr>
          <w:rFonts w:ascii="Arial MT" w:hAnsi="Arial MT"/>
          <w:sz w:val="22"/>
        </w:rPr>
        <w:t>pruebas</w:t>
      </w:r>
      <w:r>
        <w:rPr>
          <w:rFonts w:ascii="Arial MT" w:hAnsi="Arial MT"/>
          <w:spacing w:val="-4"/>
          <w:sz w:val="22"/>
        </w:rPr>
        <w:t> </w:t>
      </w:r>
      <w:r>
        <w:rPr>
          <w:rFonts w:ascii="Arial MT" w:hAnsi="Arial MT"/>
          <w:sz w:val="22"/>
        </w:rPr>
        <w:t>de</w:t>
      </w:r>
      <w:r>
        <w:rPr>
          <w:rFonts w:ascii="Arial MT" w:hAnsi="Arial MT"/>
          <w:spacing w:val="-5"/>
          <w:sz w:val="22"/>
        </w:rPr>
        <w:t> </w:t>
      </w:r>
      <w:r>
        <w:rPr>
          <w:rFonts w:ascii="Arial MT" w:hAnsi="Arial MT"/>
          <w:sz w:val="22"/>
        </w:rPr>
        <w:t>regresión</w:t>
      </w:r>
      <w:r>
        <w:rPr>
          <w:rFonts w:ascii="Arial MT" w:hAnsi="Arial MT"/>
          <w:spacing w:val="-4"/>
          <w:sz w:val="22"/>
        </w:rPr>
        <w:t> </w:t>
      </w:r>
      <w:r>
        <w:rPr>
          <w:rFonts w:ascii="Arial MT" w:hAnsi="Arial MT"/>
          <w:sz w:val="22"/>
        </w:rPr>
        <w:t>multinomial</w:t>
      </w:r>
      <w:r>
        <w:rPr>
          <w:rFonts w:ascii="Arial MT" w:hAnsi="Arial MT"/>
          <w:spacing w:val="-5"/>
          <w:sz w:val="22"/>
        </w:rPr>
        <w:t> </w:t>
      </w:r>
      <w:r>
        <w:rPr>
          <w:rFonts w:ascii="Arial MT" w:hAnsi="Arial MT"/>
          <w:spacing w:val="-2"/>
          <w:sz w:val="22"/>
        </w:rPr>
        <w:t>SpssV27.</w:t>
      </w:r>
    </w:p>
    <w:p>
      <w:pPr>
        <w:spacing w:after="0"/>
        <w:jc w:val="both"/>
        <w:rPr>
          <w:rFonts w:ascii="Arial MT" w:hAnsi="Arial MT"/>
          <w:sz w:val="22"/>
        </w:rPr>
        <w:sectPr>
          <w:pgSz w:w="11910" w:h="16840"/>
          <w:pgMar w:header="0" w:footer="693" w:top="1340" w:bottom="880" w:left="1559" w:right="425"/>
        </w:sectPr>
      </w:pPr>
    </w:p>
    <w:p>
      <w:pPr>
        <w:pStyle w:val="BodyText"/>
        <w:rPr>
          <w:rFonts w:ascii="Arial MT"/>
        </w:rPr>
      </w:pPr>
    </w:p>
    <w:p>
      <w:pPr>
        <w:pStyle w:val="BodyText"/>
        <w:spacing w:before="66"/>
        <w:rPr>
          <w:rFonts w:ascii="Arial MT"/>
        </w:rPr>
      </w:pPr>
    </w:p>
    <w:p>
      <w:pPr>
        <w:pStyle w:val="Heading3"/>
        <w:ind w:left="863"/>
      </w:pPr>
      <w:r>
        <w:rPr>
          <w:spacing w:val="-2"/>
        </w:rPr>
        <w:t>Interpretación:</w:t>
      </w:r>
    </w:p>
    <w:p>
      <w:pPr>
        <w:pStyle w:val="BodyText"/>
        <w:rPr>
          <w:b/>
        </w:rPr>
      </w:pPr>
    </w:p>
    <w:p>
      <w:pPr>
        <w:pStyle w:val="BodyText"/>
        <w:spacing w:line="480" w:lineRule="auto" w:before="1"/>
        <w:ind w:left="851" w:right="990" w:firstLine="720"/>
        <w:jc w:val="right"/>
      </w:pPr>
      <w:r>
        <w:rPr/>
        <w:t>Determinar</w:t>
      </w:r>
      <w:r>
        <w:rPr>
          <w:spacing w:val="40"/>
        </w:rPr>
        <w:t> </w:t>
      </w:r>
      <w:r>
        <w:rPr/>
        <w:t>la</w:t>
      </w:r>
      <w:r>
        <w:rPr>
          <w:spacing w:val="40"/>
        </w:rPr>
        <w:t> </w:t>
      </w:r>
      <w:r>
        <w:rPr/>
        <w:t>influencia</w:t>
      </w:r>
      <w:r>
        <w:rPr>
          <w:spacing w:val="40"/>
        </w:rPr>
        <w:t> </w:t>
      </w:r>
      <w:r>
        <w:rPr/>
        <w:t>de</w:t>
      </w:r>
      <w:r>
        <w:rPr>
          <w:spacing w:val="40"/>
        </w:rPr>
        <w:t> </w:t>
      </w:r>
      <w:r>
        <w:rPr/>
        <w:t>la</w:t>
      </w:r>
      <w:r>
        <w:rPr>
          <w:spacing w:val="40"/>
        </w:rPr>
        <w:t> </w:t>
      </w:r>
      <w:r>
        <w:rPr/>
        <w:t>estabilidad</w:t>
      </w:r>
      <w:r>
        <w:rPr>
          <w:spacing w:val="40"/>
        </w:rPr>
        <w:t> </w:t>
      </w:r>
      <w:r>
        <w:rPr/>
        <w:t>económica</w:t>
      </w:r>
      <w:r>
        <w:rPr>
          <w:spacing w:val="40"/>
        </w:rPr>
        <w:t> </w:t>
      </w:r>
      <w:r>
        <w:rPr/>
        <w:t>en</w:t>
      </w:r>
      <w:r>
        <w:rPr>
          <w:spacing w:val="40"/>
        </w:rPr>
        <w:t> </w:t>
      </w:r>
      <w:r>
        <w:rPr/>
        <w:t>la</w:t>
      </w:r>
      <w:r>
        <w:rPr>
          <w:spacing w:val="40"/>
        </w:rPr>
        <w:t> </w:t>
      </w:r>
      <w:r>
        <w:rPr/>
        <w:t>percepción</w:t>
      </w:r>
      <w:r>
        <w:rPr>
          <w:spacing w:val="80"/>
        </w:rPr>
        <w:t> </w:t>
      </w:r>
      <w:r>
        <w:rPr/>
        <w:t>económica</w:t>
      </w:r>
      <w:r>
        <w:rPr>
          <w:spacing w:val="-8"/>
        </w:rPr>
        <w:t> </w:t>
      </w:r>
      <w:r>
        <w:rPr/>
        <w:t>de</w:t>
      </w:r>
      <w:r>
        <w:rPr>
          <w:spacing w:val="-8"/>
        </w:rPr>
        <w:t> </w:t>
      </w:r>
      <w:r>
        <w:rPr/>
        <w:t>los</w:t>
      </w:r>
      <w:r>
        <w:rPr>
          <w:spacing w:val="-7"/>
        </w:rPr>
        <w:t> </w:t>
      </w:r>
      <w:r>
        <w:rPr/>
        <w:t>comerciantes</w:t>
      </w:r>
      <w:r>
        <w:rPr>
          <w:spacing w:val="-7"/>
        </w:rPr>
        <w:t> </w:t>
      </w:r>
      <w:r>
        <w:rPr/>
        <w:t>del</w:t>
      </w:r>
      <w:r>
        <w:rPr>
          <w:spacing w:val="-9"/>
        </w:rPr>
        <w:t> </w:t>
      </w:r>
      <w:r>
        <w:rPr/>
        <w:t>centro</w:t>
      </w:r>
      <w:r>
        <w:rPr>
          <w:spacing w:val="-6"/>
        </w:rPr>
        <w:t> </w:t>
      </w:r>
      <w:r>
        <w:rPr/>
        <w:t>de</w:t>
      </w:r>
      <w:r>
        <w:rPr>
          <w:spacing w:val="-8"/>
        </w:rPr>
        <w:t> </w:t>
      </w:r>
      <w:r>
        <w:rPr/>
        <w:t>abastos</w:t>
      </w:r>
      <w:r>
        <w:rPr>
          <w:spacing w:val="-8"/>
        </w:rPr>
        <w:t> </w:t>
      </w:r>
      <w:r>
        <w:rPr/>
        <w:t>Las</w:t>
      </w:r>
      <w:r>
        <w:rPr>
          <w:spacing w:val="-7"/>
        </w:rPr>
        <w:t> </w:t>
      </w:r>
      <w:r>
        <w:rPr/>
        <w:t>Mercedes</w:t>
      </w:r>
      <w:r>
        <w:rPr>
          <w:spacing w:val="-7"/>
        </w:rPr>
        <w:t> </w:t>
      </w:r>
      <w:r>
        <w:rPr/>
        <w:t>de</w:t>
      </w:r>
      <w:r>
        <w:rPr>
          <w:spacing w:val="-8"/>
        </w:rPr>
        <w:t> </w:t>
      </w:r>
      <w:r>
        <w:rPr/>
        <w:t>Juliaca,</w:t>
      </w:r>
      <w:r>
        <w:rPr>
          <w:spacing w:val="-8"/>
        </w:rPr>
        <w:t> </w:t>
      </w:r>
      <w:r>
        <w:rPr/>
        <w:t>2023. La estabilidad económica muestra una relación no lineal con la percepción económica. Los coeficientes como B=1.97 para Estabilidad = 7.00 indican que, a</w:t>
      </w:r>
      <w:r>
        <w:rPr>
          <w:spacing w:val="80"/>
        </w:rPr>
        <w:t> </w:t>
      </w:r>
      <w:r>
        <w:rPr/>
        <w:t>medida</w:t>
      </w:r>
      <w:r>
        <w:rPr>
          <w:spacing w:val="40"/>
        </w:rPr>
        <w:t> </w:t>
      </w:r>
      <w:r>
        <w:rPr/>
        <w:t>que</w:t>
      </w:r>
      <w:r>
        <w:rPr>
          <w:spacing w:val="40"/>
        </w:rPr>
        <w:t> </w:t>
      </w:r>
      <w:r>
        <w:rPr/>
        <w:t>la</w:t>
      </w:r>
      <w:r>
        <w:rPr>
          <w:spacing w:val="40"/>
        </w:rPr>
        <w:t> </w:t>
      </w:r>
      <w:r>
        <w:rPr/>
        <w:t>estabilidad</w:t>
      </w:r>
      <w:r>
        <w:rPr>
          <w:spacing w:val="40"/>
        </w:rPr>
        <w:t> </w:t>
      </w:r>
      <w:r>
        <w:rPr/>
        <w:t>mejora,</w:t>
      </w:r>
      <w:r>
        <w:rPr>
          <w:spacing w:val="40"/>
        </w:rPr>
        <w:t> </w:t>
      </w:r>
      <w:r>
        <w:rPr/>
        <w:t>la</w:t>
      </w:r>
      <w:r>
        <w:rPr>
          <w:spacing w:val="40"/>
        </w:rPr>
        <w:t> </w:t>
      </w:r>
      <w:r>
        <w:rPr/>
        <w:t>probabilidad</w:t>
      </w:r>
      <w:r>
        <w:rPr>
          <w:spacing w:val="40"/>
        </w:rPr>
        <w:t> </w:t>
      </w:r>
      <w:r>
        <w:rPr/>
        <w:t>de</w:t>
      </w:r>
      <w:r>
        <w:rPr>
          <w:spacing w:val="40"/>
        </w:rPr>
        <w:t> </w:t>
      </w:r>
      <w:r>
        <w:rPr/>
        <w:t>percepciones</w:t>
      </w:r>
      <w:r>
        <w:rPr>
          <w:spacing w:val="40"/>
        </w:rPr>
        <w:t> </w:t>
      </w:r>
      <w:r>
        <w:rPr/>
        <w:t>económicas favorables</w:t>
      </w:r>
      <w:r>
        <w:rPr>
          <w:spacing w:val="34"/>
        </w:rPr>
        <w:t> </w:t>
      </w:r>
      <w:r>
        <w:rPr/>
        <w:t>aumenta</w:t>
      </w:r>
      <w:r>
        <w:rPr>
          <w:spacing w:val="37"/>
        </w:rPr>
        <w:t> </w:t>
      </w:r>
      <w:r>
        <w:rPr/>
        <w:t>significativamente.</w:t>
      </w:r>
      <w:r>
        <w:rPr>
          <w:spacing w:val="37"/>
        </w:rPr>
        <w:t> </w:t>
      </w:r>
      <w:r>
        <w:rPr/>
        <w:t>Sin</w:t>
      </w:r>
      <w:r>
        <w:rPr>
          <w:spacing w:val="35"/>
        </w:rPr>
        <w:t> </w:t>
      </w:r>
      <w:r>
        <w:rPr/>
        <w:t>embargo,</w:t>
      </w:r>
      <w:r>
        <w:rPr>
          <w:spacing w:val="35"/>
        </w:rPr>
        <w:t> </w:t>
      </w:r>
      <w:r>
        <w:rPr/>
        <w:t>niveles</w:t>
      </w:r>
      <w:r>
        <w:rPr>
          <w:spacing w:val="36"/>
        </w:rPr>
        <w:t> </w:t>
      </w:r>
      <w:r>
        <w:rPr/>
        <w:t>como</w:t>
      </w:r>
      <w:r>
        <w:rPr>
          <w:spacing w:val="35"/>
        </w:rPr>
        <w:t> </w:t>
      </w:r>
      <w:r>
        <w:rPr/>
        <w:t>Estabilidad</w:t>
      </w:r>
      <w:r>
        <w:rPr>
          <w:spacing w:val="39"/>
        </w:rPr>
        <w:t> </w:t>
      </w:r>
      <w:r>
        <w:rPr>
          <w:spacing w:val="-10"/>
        </w:rPr>
        <w:t>=</w:t>
      </w:r>
    </w:p>
    <w:p>
      <w:pPr>
        <w:pStyle w:val="BodyText"/>
        <w:spacing w:line="480" w:lineRule="auto"/>
        <w:ind w:left="851" w:right="991"/>
        <w:jc w:val="both"/>
      </w:pPr>
      <w:r>
        <w:rPr/>
        <w:t>8.00 (B=−1.274) reflejan una disminución en las probabilidades relativas. Este comportamiento sugiere que, aunque la estabilidad contribuye positivamente en ciertos rangos, cambios más altos o fuera de lo óptimo pueden impactar negativamente, posiblemente debido a interacciones con otros factores económicos o subjetivos de los comerciantes.</w:t>
      </w:r>
    </w:p>
    <w:p>
      <w:pPr>
        <w:pStyle w:val="BodyText"/>
        <w:spacing w:after="0" w:line="480" w:lineRule="auto"/>
        <w:jc w:val="both"/>
        <w:sectPr>
          <w:headerReference w:type="default" r:id="rId64"/>
          <w:footerReference w:type="default" r:id="rId65"/>
          <w:pgSz w:w="11910" w:h="16840"/>
          <w:pgMar w:header="0" w:footer="693" w:top="1340" w:bottom="880" w:left="1559" w:right="425"/>
        </w:sectPr>
      </w:pPr>
    </w:p>
    <w:p>
      <w:pPr>
        <w:pStyle w:val="Heading3"/>
        <w:spacing w:before="66"/>
        <w:ind w:left="863"/>
      </w:pPr>
      <w:r>
        <w:rPr/>
        <w:t>Tabla </w:t>
      </w:r>
      <w:r>
        <w:rPr>
          <w:spacing w:val="-5"/>
        </w:rPr>
        <w:t>10</w:t>
      </w:r>
    </w:p>
    <w:p>
      <w:pPr>
        <w:pStyle w:val="BodyText"/>
        <w:rPr>
          <w:b/>
        </w:rPr>
      </w:pPr>
    </w:p>
    <w:p>
      <w:pPr>
        <w:spacing w:before="0"/>
        <w:ind w:left="863" w:right="0" w:firstLine="0"/>
        <w:jc w:val="left"/>
        <w:rPr>
          <w:i/>
          <w:sz w:val="24"/>
        </w:rPr>
      </w:pPr>
      <w:r>
        <w:rPr>
          <w:i/>
          <w:sz w:val="24"/>
        </w:rPr>
        <w:t>Estadísticos</w:t>
      </w:r>
      <w:r>
        <w:rPr>
          <w:i/>
          <w:spacing w:val="-1"/>
          <w:sz w:val="24"/>
        </w:rPr>
        <w:t> </w:t>
      </w:r>
      <w:r>
        <w:rPr>
          <w:i/>
          <w:sz w:val="24"/>
        </w:rPr>
        <w:t>de prueba</w:t>
      </w:r>
      <w:r>
        <w:rPr>
          <w:i/>
          <w:spacing w:val="-1"/>
          <w:sz w:val="24"/>
        </w:rPr>
        <w:t> </w:t>
      </w:r>
      <w:r>
        <w:rPr>
          <w:i/>
          <w:sz w:val="24"/>
        </w:rPr>
        <w:t>de</w:t>
      </w:r>
      <w:r>
        <w:rPr>
          <w:i/>
          <w:spacing w:val="-1"/>
          <w:sz w:val="24"/>
        </w:rPr>
        <w:t> </w:t>
      </w:r>
      <w:r>
        <w:rPr>
          <w:i/>
          <w:sz w:val="24"/>
        </w:rPr>
        <w:t>regresión</w:t>
      </w:r>
      <w:r>
        <w:rPr>
          <w:i/>
          <w:spacing w:val="-1"/>
          <w:sz w:val="24"/>
        </w:rPr>
        <w:t> </w:t>
      </w:r>
      <w:r>
        <w:rPr>
          <w:i/>
          <w:sz w:val="24"/>
        </w:rPr>
        <w:t>multinomial Objetivo</w:t>
      </w:r>
      <w:r>
        <w:rPr>
          <w:i/>
          <w:spacing w:val="-1"/>
          <w:sz w:val="24"/>
        </w:rPr>
        <w:t> </w:t>
      </w:r>
      <w:r>
        <w:rPr>
          <w:i/>
          <w:sz w:val="24"/>
        </w:rPr>
        <w:t>Especifico </w:t>
      </w:r>
      <w:r>
        <w:rPr>
          <w:i/>
          <w:spacing w:val="-10"/>
          <w:sz w:val="24"/>
        </w:rPr>
        <w:t>2</w:t>
      </w:r>
    </w:p>
    <w:p>
      <w:pPr>
        <w:pStyle w:val="BodyText"/>
        <w:rPr>
          <w:i/>
          <w:sz w:val="20"/>
        </w:rPr>
      </w:pPr>
    </w:p>
    <w:p>
      <w:pPr>
        <w:pStyle w:val="BodyText"/>
        <w:spacing w:before="35"/>
        <w:rPr>
          <w:i/>
          <w:sz w:val="20"/>
        </w:rPr>
      </w:pPr>
      <w:r>
        <w:rPr>
          <w:i/>
          <w:sz w:val="20"/>
        </w:rPr>
        <w:drawing>
          <wp:anchor distT="0" distB="0" distL="0" distR="0" allowOverlap="1" layoutInCell="1" locked="0" behindDoc="1" simplePos="0" relativeHeight="487618560">
            <wp:simplePos x="0" y="0"/>
            <wp:positionH relativeFrom="page">
              <wp:posOffset>1579116</wp:posOffset>
            </wp:positionH>
            <wp:positionV relativeFrom="paragraph">
              <wp:posOffset>183826</wp:posOffset>
            </wp:positionV>
            <wp:extent cx="5673613" cy="4326636"/>
            <wp:effectExtent l="0" t="0" r="0" b="0"/>
            <wp:wrapTopAndBottom/>
            <wp:docPr id="165" name="Image 165"/>
            <wp:cNvGraphicFramePr>
              <a:graphicFrameLocks/>
            </wp:cNvGraphicFramePr>
            <a:graphic>
              <a:graphicData uri="http://schemas.openxmlformats.org/drawingml/2006/picture">
                <pic:pic>
                  <pic:nvPicPr>
                    <pic:cNvPr id="165" name="Image 165"/>
                    <pic:cNvPicPr/>
                  </pic:nvPicPr>
                  <pic:blipFill>
                    <a:blip r:embed="rId66" cstate="print"/>
                    <a:stretch>
                      <a:fillRect/>
                    </a:stretch>
                  </pic:blipFill>
                  <pic:spPr>
                    <a:xfrm>
                      <a:off x="0" y="0"/>
                      <a:ext cx="5673613" cy="4326636"/>
                    </a:xfrm>
                    <a:prstGeom prst="rect">
                      <a:avLst/>
                    </a:prstGeom>
                  </pic:spPr>
                </pic:pic>
              </a:graphicData>
            </a:graphic>
          </wp:anchor>
        </w:drawing>
      </w:r>
    </w:p>
    <w:p>
      <w:pPr>
        <w:spacing w:before="0"/>
        <w:ind w:left="863" w:right="0" w:firstLine="0"/>
        <w:jc w:val="left"/>
        <w:rPr>
          <w:rFonts w:ascii="Arial MT" w:hAnsi="Arial MT"/>
          <w:sz w:val="22"/>
        </w:rPr>
      </w:pPr>
      <w:r>
        <w:rPr>
          <w:rFonts w:ascii="Arial" w:hAnsi="Arial"/>
          <w:i/>
          <w:sz w:val="22"/>
        </w:rPr>
        <w:t>Nota:</w:t>
      </w:r>
      <w:r>
        <w:rPr>
          <w:rFonts w:ascii="Arial" w:hAnsi="Arial"/>
          <w:i/>
          <w:spacing w:val="-5"/>
          <w:sz w:val="22"/>
        </w:rPr>
        <w:t> </w:t>
      </w:r>
      <w:r>
        <w:rPr>
          <w:rFonts w:ascii="Arial MT" w:hAnsi="Arial MT"/>
          <w:sz w:val="22"/>
        </w:rPr>
        <w:t>Hallazgos</w:t>
      </w:r>
      <w:r>
        <w:rPr>
          <w:rFonts w:ascii="Arial MT" w:hAnsi="Arial MT"/>
          <w:spacing w:val="-4"/>
          <w:sz w:val="22"/>
        </w:rPr>
        <w:t> </w:t>
      </w:r>
      <w:r>
        <w:rPr>
          <w:rFonts w:ascii="Arial MT" w:hAnsi="Arial MT"/>
          <w:sz w:val="22"/>
        </w:rPr>
        <w:t>de</w:t>
      </w:r>
      <w:r>
        <w:rPr>
          <w:rFonts w:ascii="Arial MT" w:hAnsi="Arial MT"/>
          <w:spacing w:val="-5"/>
          <w:sz w:val="22"/>
        </w:rPr>
        <w:t> </w:t>
      </w:r>
      <w:r>
        <w:rPr>
          <w:rFonts w:ascii="Arial MT" w:hAnsi="Arial MT"/>
          <w:sz w:val="22"/>
        </w:rPr>
        <w:t>pruebas</w:t>
      </w:r>
      <w:r>
        <w:rPr>
          <w:rFonts w:ascii="Arial MT" w:hAnsi="Arial MT"/>
          <w:spacing w:val="-4"/>
          <w:sz w:val="22"/>
        </w:rPr>
        <w:t> </w:t>
      </w:r>
      <w:r>
        <w:rPr>
          <w:rFonts w:ascii="Arial MT" w:hAnsi="Arial MT"/>
          <w:sz w:val="22"/>
        </w:rPr>
        <w:t>de</w:t>
      </w:r>
      <w:r>
        <w:rPr>
          <w:rFonts w:ascii="Arial MT" w:hAnsi="Arial MT"/>
          <w:spacing w:val="-5"/>
          <w:sz w:val="22"/>
        </w:rPr>
        <w:t> </w:t>
      </w:r>
      <w:r>
        <w:rPr>
          <w:rFonts w:ascii="Arial MT" w:hAnsi="Arial MT"/>
          <w:sz w:val="22"/>
        </w:rPr>
        <w:t>regresión</w:t>
      </w:r>
      <w:r>
        <w:rPr>
          <w:rFonts w:ascii="Arial MT" w:hAnsi="Arial MT"/>
          <w:spacing w:val="-4"/>
          <w:sz w:val="22"/>
        </w:rPr>
        <w:t> </w:t>
      </w:r>
      <w:r>
        <w:rPr>
          <w:rFonts w:ascii="Arial MT" w:hAnsi="Arial MT"/>
          <w:sz w:val="22"/>
        </w:rPr>
        <w:t>multinomial</w:t>
      </w:r>
      <w:r>
        <w:rPr>
          <w:rFonts w:ascii="Arial MT" w:hAnsi="Arial MT"/>
          <w:spacing w:val="-5"/>
          <w:sz w:val="22"/>
        </w:rPr>
        <w:t> </w:t>
      </w:r>
      <w:r>
        <w:rPr>
          <w:rFonts w:ascii="Arial MT" w:hAnsi="Arial MT"/>
          <w:spacing w:val="-2"/>
          <w:sz w:val="22"/>
        </w:rPr>
        <w:t>SpssV27.</w:t>
      </w:r>
    </w:p>
    <w:p>
      <w:pPr>
        <w:pStyle w:val="Heading3"/>
        <w:spacing w:before="219"/>
        <w:ind w:left="863"/>
      </w:pPr>
      <w:r>
        <w:rPr>
          <w:spacing w:val="-2"/>
        </w:rPr>
        <w:t>Interpretación:</w:t>
      </w:r>
    </w:p>
    <w:p>
      <w:pPr>
        <w:pStyle w:val="BodyText"/>
        <w:rPr>
          <w:b/>
        </w:rPr>
      </w:pPr>
    </w:p>
    <w:p>
      <w:pPr>
        <w:pStyle w:val="BodyText"/>
        <w:spacing w:line="480" w:lineRule="auto"/>
        <w:ind w:left="851" w:right="996" w:firstLine="780"/>
        <w:jc w:val="right"/>
      </w:pPr>
      <w:r>
        <w:rPr/>
        <w:t>Determinar</w:t>
      </w:r>
      <w:r>
        <w:rPr>
          <w:spacing w:val="80"/>
        </w:rPr>
        <w:t> </w:t>
      </w:r>
      <w:r>
        <w:rPr/>
        <w:t>la</w:t>
      </w:r>
      <w:r>
        <w:rPr>
          <w:spacing w:val="80"/>
        </w:rPr>
        <w:t> </w:t>
      </w:r>
      <w:r>
        <w:rPr/>
        <w:t>influencia</w:t>
      </w:r>
      <w:r>
        <w:rPr>
          <w:spacing w:val="80"/>
        </w:rPr>
        <w:t> </w:t>
      </w:r>
      <w:r>
        <w:rPr/>
        <w:t>de</w:t>
      </w:r>
      <w:r>
        <w:rPr>
          <w:spacing w:val="80"/>
        </w:rPr>
        <w:t> </w:t>
      </w:r>
      <w:r>
        <w:rPr/>
        <w:t>la</w:t>
      </w:r>
      <w:r>
        <w:rPr>
          <w:spacing w:val="80"/>
        </w:rPr>
        <w:t> </w:t>
      </w:r>
      <w:r>
        <w:rPr/>
        <w:t>liquidez</w:t>
      </w:r>
      <w:r>
        <w:rPr>
          <w:spacing w:val="80"/>
        </w:rPr>
        <w:t> </w:t>
      </w:r>
      <w:r>
        <w:rPr/>
        <w:t>económica</w:t>
      </w:r>
      <w:r>
        <w:rPr>
          <w:spacing w:val="80"/>
        </w:rPr>
        <w:t> </w:t>
      </w:r>
      <w:r>
        <w:rPr/>
        <w:t>en</w:t>
      </w:r>
      <w:r>
        <w:rPr>
          <w:spacing w:val="80"/>
        </w:rPr>
        <w:t> </w:t>
      </w:r>
      <w:r>
        <w:rPr/>
        <w:t>la</w:t>
      </w:r>
      <w:r>
        <w:rPr>
          <w:spacing w:val="80"/>
        </w:rPr>
        <w:t> </w:t>
      </w:r>
      <w:r>
        <w:rPr/>
        <w:t>percepción económica</w:t>
      </w:r>
      <w:r>
        <w:rPr>
          <w:spacing w:val="-3"/>
        </w:rPr>
        <w:t> </w:t>
      </w:r>
      <w:r>
        <w:rPr/>
        <w:t>de</w:t>
      </w:r>
      <w:r>
        <w:rPr>
          <w:spacing w:val="-5"/>
        </w:rPr>
        <w:t> </w:t>
      </w:r>
      <w:r>
        <w:rPr/>
        <w:t>los</w:t>
      </w:r>
      <w:r>
        <w:rPr>
          <w:spacing w:val="-3"/>
        </w:rPr>
        <w:t> </w:t>
      </w:r>
      <w:r>
        <w:rPr/>
        <w:t>comerciantes</w:t>
      </w:r>
      <w:r>
        <w:rPr>
          <w:spacing w:val="-3"/>
        </w:rPr>
        <w:t> </w:t>
      </w:r>
      <w:r>
        <w:rPr/>
        <w:t>del</w:t>
      </w:r>
      <w:r>
        <w:rPr>
          <w:spacing w:val="-2"/>
        </w:rPr>
        <w:t> </w:t>
      </w:r>
      <w:r>
        <w:rPr/>
        <w:t>centro</w:t>
      </w:r>
      <w:r>
        <w:rPr>
          <w:spacing w:val="-3"/>
        </w:rPr>
        <w:t> </w:t>
      </w:r>
      <w:r>
        <w:rPr/>
        <w:t>de</w:t>
      </w:r>
      <w:r>
        <w:rPr>
          <w:spacing w:val="-3"/>
        </w:rPr>
        <w:t> </w:t>
      </w:r>
      <w:r>
        <w:rPr/>
        <w:t>abastos</w:t>
      </w:r>
      <w:r>
        <w:rPr>
          <w:spacing w:val="-3"/>
        </w:rPr>
        <w:t> </w:t>
      </w:r>
      <w:r>
        <w:rPr/>
        <w:t>Las</w:t>
      </w:r>
      <w:r>
        <w:rPr>
          <w:spacing w:val="-3"/>
        </w:rPr>
        <w:t> </w:t>
      </w:r>
      <w:r>
        <w:rPr/>
        <w:t>Mercedes</w:t>
      </w:r>
      <w:r>
        <w:rPr>
          <w:spacing w:val="-2"/>
        </w:rPr>
        <w:t> </w:t>
      </w:r>
      <w:r>
        <w:rPr/>
        <w:t>de</w:t>
      </w:r>
      <w:r>
        <w:rPr>
          <w:spacing w:val="-3"/>
        </w:rPr>
        <w:t> </w:t>
      </w:r>
      <w:r>
        <w:rPr/>
        <w:t>Juliaca,</w:t>
      </w:r>
      <w:r>
        <w:rPr>
          <w:spacing w:val="-3"/>
        </w:rPr>
        <w:t> </w:t>
      </w:r>
      <w:r>
        <w:rPr/>
        <w:t>2023 La liquidez económica tiene un impacto significativo, pero heterogéneo, en</w:t>
      </w:r>
    </w:p>
    <w:p>
      <w:pPr>
        <w:pStyle w:val="BodyText"/>
        <w:spacing w:line="480" w:lineRule="auto" w:before="1"/>
        <w:ind w:left="851" w:right="992"/>
        <w:jc w:val="both"/>
      </w:pPr>
      <w:r>
        <w:rPr/>
        <w:t>la percepción económica. Por ejemplo, niveles bajos como Liquidez = 5.00 (B=5.430, Exp(B)=228.205) incrementan de manera drástica la probabilidad de percepciones económicas positivas, reflejando que una mejora inicial en la liquidez es</w:t>
      </w:r>
      <w:r>
        <w:rPr>
          <w:spacing w:val="-11"/>
        </w:rPr>
        <w:t> </w:t>
      </w:r>
      <w:r>
        <w:rPr/>
        <w:t>clave</w:t>
      </w:r>
      <w:r>
        <w:rPr>
          <w:spacing w:val="-13"/>
        </w:rPr>
        <w:t> </w:t>
      </w:r>
      <w:r>
        <w:rPr/>
        <w:t>para</w:t>
      </w:r>
      <w:r>
        <w:rPr>
          <w:spacing w:val="-12"/>
        </w:rPr>
        <w:t> </w:t>
      </w:r>
      <w:r>
        <w:rPr/>
        <w:t>los</w:t>
      </w:r>
      <w:r>
        <w:rPr>
          <w:spacing w:val="-11"/>
        </w:rPr>
        <w:t> </w:t>
      </w:r>
      <w:r>
        <w:rPr/>
        <w:t>comerciantes.</w:t>
      </w:r>
      <w:r>
        <w:rPr>
          <w:spacing w:val="-11"/>
        </w:rPr>
        <w:t> </w:t>
      </w:r>
      <w:r>
        <w:rPr/>
        <w:t>No</w:t>
      </w:r>
      <w:r>
        <w:rPr>
          <w:spacing w:val="-11"/>
        </w:rPr>
        <w:t> </w:t>
      </w:r>
      <w:r>
        <w:rPr/>
        <w:t>obstante,</w:t>
      </w:r>
      <w:r>
        <w:rPr>
          <w:spacing w:val="-12"/>
        </w:rPr>
        <w:t> </w:t>
      </w:r>
      <w:r>
        <w:rPr/>
        <w:t>niveles</w:t>
      </w:r>
      <w:r>
        <w:rPr>
          <w:spacing w:val="-11"/>
        </w:rPr>
        <w:t> </w:t>
      </w:r>
      <w:r>
        <w:rPr/>
        <w:t>elevados</w:t>
      </w:r>
      <w:r>
        <w:rPr>
          <w:spacing w:val="-11"/>
        </w:rPr>
        <w:t> </w:t>
      </w:r>
      <w:r>
        <w:rPr/>
        <w:t>como</w:t>
      </w:r>
      <w:r>
        <w:rPr>
          <w:spacing w:val="-11"/>
        </w:rPr>
        <w:t> </w:t>
      </w:r>
      <w:r>
        <w:rPr/>
        <w:t>Liquidez</w:t>
      </w:r>
      <w:r>
        <w:rPr>
          <w:spacing w:val="-12"/>
        </w:rPr>
        <w:t> </w:t>
      </w:r>
      <w:r>
        <w:rPr/>
        <w:t>=</w:t>
      </w:r>
      <w:r>
        <w:rPr>
          <w:spacing w:val="-11"/>
        </w:rPr>
        <w:t> </w:t>
      </w:r>
      <w:r>
        <w:rPr/>
        <w:t>12.00 (B=−10.905) generan una reducción considerable en las probabilidades, sugiriendo que</w:t>
      </w:r>
      <w:r>
        <w:rPr>
          <w:spacing w:val="17"/>
        </w:rPr>
        <w:t> </w:t>
      </w:r>
      <w:r>
        <w:rPr/>
        <w:t>excesos</w:t>
      </w:r>
      <w:r>
        <w:rPr>
          <w:spacing w:val="21"/>
        </w:rPr>
        <w:t> </w:t>
      </w:r>
      <w:r>
        <w:rPr/>
        <w:t>de</w:t>
      </w:r>
      <w:r>
        <w:rPr>
          <w:spacing w:val="19"/>
        </w:rPr>
        <w:t> </w:t>
      </w:r>
      <w:r>
        <w:rPr/>
        <w:t>liquidez</w:t>
      </w:r>
      <w:r>
        <w:rPr>
          <w:spacing w:val="19"/>
        </w:rPr>
        <w:t> </w:t>
      </w:r>
      <w:r>
        <w:rPr/>
        <w:t>podrían</w:t>
      </w:r>
      <w:r>
        <w:rPr>
          <w:spacing w:val="19"/>
        </w:rPr>
        <w:t> </w:t>
      </w:r>
      <w:r>
        <w:rPr/>
        <w:t>relacionarse</w:t>
      </w:r>
      <w:r>
        <w:rPr>
          <w:spacing w:val="20"/>
        </w:rPr>
        <w:t> </w:t>
      </w:r>
      <w:r>
        <w:rPr/>
        <w:t>con</w:t>
      </w:r>
      <w:r>
        <w:rPr>
          <w:spacing w:val="19"/>
        </w:rPr>
        <w:t> </w:t>
      </w:r>
      <w:r>
        <w:rPr/>
        <w:t>percepciones</w:t>
      </w:r>
      <w:r>
        <w:rPr>
          <w:spacing w:val="20"/>
        </w:rPr>
        <w:t> </w:t>
      </w:r>
      <w:r>
        <w:rPr/>
        <w:t>económicas</w:t>
      </w:r>
      <w:r>
        <w:rPr>
          <w:spacing w:val="20"/>
        </w:rPr>
        <w:t> </w:t>
      </w:r>
      <w:r>
        <w:rPr>
          <w:spacing w:val="-2"/>
        </w:rPr>
        <w:t>menos</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851" w:right="986"/>
      </w:pPr>
      <w:r>
        <w:rPr/>
        <w:t>favorables</w:t>
      </w:r>
      <w:r>
        <w:rPr>
          <w:spacing w:val="-12"/>
        </w:rPr>
        <w:t> </w:t>
      </w:r>
      <w:r>
        <w:rPr/>
        <w:t>debido</w:t>
      </w:r>
      <w:r>
        <w:rPr>
          <w:spacing w:val="-10"/>
        </w:rPr>
        <w:t> </w:t>
      </w:r>
      <w:r>
        <w:rPr/>
        <w:t>a</w:t>
      </w:r>
      <w:r>
        <w:rPr>
          <w:spacing w:val="-13"/>
        </w:rPr>
        <w:t> </w:t>
      </w:r>
      <w:r>
        <w:rPr/>
        <w:t>posibles</w:t>
      </w:r>
      <w:r>
        <w:rPr>
          <w:spacing w:val="-12"/>
        </w:rPr>
        <w:t> </w:t>
      </w:r>
      <w:r>
        <w:rPr/>
        <w:t>interpretaciones</w:t>
      </w:r>
      <w:r>
        <w:rPr>
          <w:spacing w:val="-12"/>
        </w:rPr>
        <w:t> </w:t>
      </w:r>
      <w:r>
        <w:rPr/>
        <w:t>de</w:t>
      </w:r>
      <w:r>
        <w:rPr>
          <w:spacing w:val="-13"/>
        </w:rPr>
        <w:t> </w:t>
      </w:r>
      <w:r>
        <w:rPr/>
        <w:t>inestabilidad</w:t>
      </w:r>
      <w:r>
        <w:rPr>
          <w:spacing w:val="-11"/>
        </w:rPr>
        <w:t> </w:t>
      </w:r>
      <w:r>
        <w:rPr/>
        <w:t>o</w:t>
      </w:r>
      <w:r>
        <w:rPr>
          <w:spacing w:val="-12"/>
        </w:rPr>
        <w:t> </w:t>
      </w:r>
      <w:r>
        <w:rPr/>
        <w:t>falta</w:t>
      </w:r>
      <w:r>
        <w:rPr>
          <w:spacing w:val="-14"/>
        </w:rPr>
        <w:t> </w:t>
      </w:r>
      <w:r>
        <w:rPr/>
        <w:t>de</w:t>
      </w:r>
      <w:r>
        <w:rPr>
          <w:spacing w:val="-13"/>
        </w:rPr>
        <w:t> </w:t>
      </w:r>
      <w:r>
        <w:rPr/>
        <w:t>planificación </w:t>
      </w:r>
      <w:r>
        <w:rPr>
          <w:spacing w:val="-2"/>
        </w:rPr>
        <w:t>financiera.</w:t>
      </w:r>
    </w:p>
    <w:p>
      <w:pPr>
        <w:pStyle w:val="Heading3"/>
        <w:spacing w:before="1"/>
        <w:ind w:left="863"/>
      </w:pPr>
      <w:r>
        <w:rPr/>
        <w:t>Tabla </w:t>
      </w:r>
      <w:r>
        <w:rPr>
          <w:spacing w:val="-5"/>
        </w:rPr>
        <w:t>11</w:t>
      </w:r>
    </w:p>
    <w:p>
      <w:pPr>
        <w:spacing w:before="276"/>
        <w:ind w:left="863" w:right="0" w:firstLine="0"/>
        <w:jc w:val="left"/>
        <w:rPr>
          <w:i/>
          <w:sz w:val="24"/>
        </w:rPr>
      </w:pPr>
      <w:r>
        <w:rPr>
          <w:i/>
          <w:sz w:val="24"/>
        </w:rPr>
        <w:t>Estadísticos</w:t>
      </w:r>
      <w:r>
        <w:rPr>
          <w:i/>
          <w:spacing w:val="-3"/>
          <w:sz w:val="24"/>
        </w:rPr>
        <w:t> </w:t>
      </w:r>
      <w:r>
        <w:rPr>
          <w:i/>
          <w:sz w:val="24"/>
        </w:rPr>
        <w:t>de</w:t>
      </w:r>
      <w:r>
        <w:rPr>
          <w:i/>
          <w:spacing w:val="-1"/>
          <w:sz w:val="24"/>
        </w:rPr>
        <w:t> </w:t>
      </w:r>
      <w:r>
        <w:rPr>
          <w:i/>
          <w:sz w:val="24"/>
        </w:rPr>
        <w:t>prueba de</w:t>
      </w:r>
      <w:r>
        <w:rPr>
          <w:i/>
          <w:spacing w:val="-1"/>
          <w:sz w:val="24"/>
        </w:rPr>
        <w:t> </w:t>
      </w:r>
      <w:r>
        <w:rPr>
          <w:i/>
          <w:sz w:val="24"/>
        </w:rPr>
        <w:t>regresión</w:t>
      </w:r>
      <w:r>
        <w:rPr>
          <w:i/>
          <w:spacing w:val="-1"/>
          <w:sz w:val="24"/>
        </w:rPr>
        <w:t> </w:t>
      </w:r>
      <w:r>
        <w:rPr>
          <w:i/>
          <w:sz w:val="24"/>
        </w:rPr>
        <w:t>multinomial Objetivo</w:t>
      </w:r>
      <w:r>
        <w:rPr>
          <w:i/>
          <w:spacing w:val="-1"/>
          <w:sz w:val="24"/>
        </w:rPr>
        <w:t> </w:t>
      </w:r>
      <w:r>
        <w:rPr>
          <w:i/>
          <w:sz w:val="24"/>
        </w:rPr>
        <w:t>Especifico </w:t>
      </w:r>
      <w:r>
        <w:rPr>
          <w:i/>
          <w:spacing w:val="-10"/>
          <w:sz w:val="24"/>
        </w:rPr>
        <w:t>3</w:t>
      </w:r>
    </w:p>
    <w:p>
      <w:pPr>
        <w:pStyle w:val="BodyText"/>
        <w:spacing w:before="3"/>
        <w:rPr>
          <w:i/>
          <w:sz w:val="15"/>
        </w:rPr>
      </w:pPr>
      <w:r>
        <w:rPr>
          <w:i/>
          <w:sz w:val="15"/>
        </w:rPr>
        <w:drawing>
          <wp:anchor distT="0" distB="0" distL="0" distR="0" allowOverlap="1" layoutInCell="1" locked="0" behindDoc="1" simplePos="0" relativeHeight="487619072">
            <wp:simplePos x="0" y="0"/>
            <wp:positionH relativeFrom="page">
              <wp:posOffset>1112633</wp:posOffset>
            </wp:positionH>
            <wp:positionV relativeFrom="paragraph">
              <wp:posOffset>127216</wp:posOffset>
            </wp:positionV>
            <wp:extent cx="5673455" cy="4352544"/>
            <wp:effectExtent l="0" t="0" r="0" b="0"/>
            <wp:wrapTopAndBottom/>
            <wp:docPr id="166" name="Image 166"/>
            <wp:cNvGraphicFramePr>
              <a:graphicFrameLocks/>
            </wp:cNvGraphicFramePr>
            <a:graphic>
              <a:graphicData uri="http://schemas.openxmlformats.org/drawingml/2006/picture">
                <pic:pic>
                  <pic:nvPicPr>
                    <pic:cNvPr id="166" name="Image 166"/>
                    <pic:cNvPicPr/>
                  </pic:nvPicPr>
                  <pic:blipFill>
                    <a:blip r:embed="rId67" cstate="print"/>
                    <a:stretch>
                      <a:fillRect/>
                    </a:stretch>
                  </pic:blipFill>
                  <pic:spPr>
                    <a:xfrm>
                      <a:off x="0" y="0"/>
                      <a:ext cx="5673455" cy="4352544"/>
                    </a:xfrm>
                    <a:prstGeom prst="rect">
                      <a:avLst/>
                    </a:prstGeom>
                  </pic:spPr>
                </pic:pic>
              </a:graphicData>
            </a:graphic>
          </wp:anchor>
        </w:drawing>
      </w:r>
    </w:p>
    <w:p>
      <w:pPr>
        <w:spacing w:before="27"/>
        <w:ind w:left="205" w:right="0" w:firstLine="0"/>
        <w:jc w:val="left"/>
        <w:rPr>
          <w:rFonts w:ascii="Arial MT" w:hAnsi="Arial MT"/>
          <w:sz w:val="22"/>
        </w:rPr>
      </w:pPr>
      <w:r>
        <w:rPr>
          <w:rFonts w:ascii="Arial" w:hAnsi="Arial"/>
          <w:i/>
          <w:sz w:val="22"/>
        </w:rPr>
        <w:t>Nota:</w:t>
      </w:r>
      <w:r>
        <w:rPr>
          <w:rFonts w:ascii="Arial" w:hAnsi="Arial"/>
          <w:i/>
          <w:spacing w:val="-7"/>
          <w:sz w:val="22"/>
        </w:rPr>
        <w:t> </w:t>
      </w:r>
      <w:r>
        <w:rPr>
          <w:rFonts w:ascii="Arial MT" w:hAnsi="Arial MT"/>
          <w:sz w:val="22"/>
        </w:rPr>
        <w:t>Hallazgos</w:t>
      </w:r>
      <w:r>
        <w:rPr>
          <w:rFonts w:ascii="Arial MT" w:hAnsi="Arial MT"/>
          <w:spacing w:val="-5"/>
          <w:sz w:val="22"/>
        </w:rPr>
        <w:t> </w:t>
      </w:r>
      <w:r>
        <w:rPr>
          <w:rFonts w:ascii="Arial MT" w:hAnsi="Arial MT"/>
          <w:sz w:val="22"/>
        </w:rPr>
        <w:t>de</w:t>
      </w:r>
      <w:r>
        <w:rPr>
          <w:rFonts w:ascii="Arial MT" w:hAnsi="Arial MT"/>
          <w:spacing w:val="-4"/>
          <w:sz w:val="22"/>
        </w:rPr>
        <w:t> </w:t>
      </w:r>
      <w:r>
        <w:rPr>
          <w:rFonts w:ascii="Arial MT" w:hAnsi="Arial MT"/>
          <w:sz w:val="22"/>
        </w:rPr>
        <w:t>pruebas</w:t>
      </w:r>
      <w:r>
        <w:rPr>
          <w:rFonts w:ascii="Arial MT" w:hAnsi="Arial MT"/>
          <w:spacing w:val="-5"/>
          <w:sz w:val="22"/>
        </w:rPr>
        <w:t> </w:t>
      </w:r>
      <w:r>
        <w:rPr>
          <w:rFonts w:ascii="Arial MT" w:hAnsi="Arial MT"/>
          <w:sz w:val="22"/>
        </w:rPr>
        <w:t>de</w:t>
      </w:r>
      <w:r>
        <w:rPr>
          <w:rFonts w:ascii="Arial MT" w:hAnsi="Arial MT"/>
          <w:spacing w:val="-5"/>
          <w:sz w:val="22"/>
        </w:rPr>
        <w:t> </w:t>
      </w:r>
      <w:r>
        <w:rPr>
          <w:rFonts w:ascii="Arial MT" w:hAnsi="Arial MT"/>
          <w:sz w:val="22"/>
        </w:rPr>
        <w:t>regresión</w:t>
      </w:r>
      <w:r>
        <w:rPr>
          <w:rFonts w:ascii="Arial MT" w:hAnsi="Arial MT"/>
          <w:spacing w:val="-5"/>
          <w:sz w:val="22"/>
        </w:rPr>
        <w:t> </w:t>
      </w:r>
      <w:r>
        <w:rPr>
          <w:rFonts w:ascii="Arial MT" w:hAnsi="Arial MT"/>
          <w:sz w:val="22"/>
        </w:rPr>
        <w:t>multinomial</w:t>
      </w:r>
      <w:r>
        <w:rPr>
          <w:rFonts w:ascii="Arial MT" w:hAnsi="Arial MT"/>
          <w:spacing w:val="-5"/>
          <w:sz w:val="22"/>
        </w:rPr>
        <w:t> </w:t>
      </w:r>
      <w:r>
        <w:rPr>
          <w:rFonts w:ascii="Arial MT" w:hAnsi="Arial MT"/>
          <w:spacing w:val="-2"/>
          <w:sz w:val="22"/>
        </w:rPr>
        <w:t>SpssV27.</w:t>
      </w:r>
    </w:p>
    <w:p>
      <w:pPr>
        <w:pStyle w:val="Heading3"/>
        <w:spacing w:before="125"/>
        <w:ind w:left="143"/>
      </w:pPr>
      <w:r>
        <w:rPr>
          <w:spacing w:val="-2"/>
        </w:rPr>
        <w:t>Interpretación:</w:t>
      </w:r>
    </w:p>
    <w:p>
      <w:pPr>
        <w:pStyle w:val="BodyText"/>
        <w:rPr>
          <w:b/>
        </w:rPr>
      </w:pPr>
    </w:p>
    <w:p>
      <w:pPr>
        <w:pStyle w:val="BodyText"/>
        <w:spacing w:line="480" w:lineRule="auto" w:before="1"/>
        <w:ind w:left="143" w:right="991" w:firstLine="719"/>
        <w:jc w:val="both"/>
      </w:pPr>
      <w:r>
        <w:rPr/>
        <w:t>Determinar la influencia de la seguridad económica en la percepción económica de los comerciantes del centro de abastos Las Mercedes de Juliaca, 2023</w:t>
      </w:r>
    </w:p>
    <w:p>
      <w:pPr>
        <w:pStyle w:val="BodyText"/>
        <w:spacing w:line="480" w:lineRule="auto"/>
        <w:ind w:left="143" w:right="990" w:firstLine="719"/>
        <w:jc w:val="both"/>
      </w:pPr>
      <w:r>
        <w:rPr/>
        <w:t>La seguridad económica también influye de manera variable en la percepción económica. Por ejemplo, valores moderados como Seguridad = 4.00 (B=1.938, Exp(B)=6.943) incrementan las probabilidades relativas de percepciones favorables, mientras</w:t>
      </w:r>
      <w:r>
        <w:rPr>
          <w:spacing w:val="-6"/>
        </w:rPr>
        <w:t> </w:t>
      </w:r>
      <w:r>
        <w:rPr/>
        <w:t>que</w:t>
      </w:r>
      <w:r>
        <w:rPr>
          <w:spacing w:val="-7"/>
        </w:rPr>
        <w:t> </w:t>
      </w:r>
      <w:r>
        <w:rPr/>
        <w:t>niveles</w:t>
      </w:r>
      <w:r>
        <w:rPr>
          <w:spacing w:val="-4"/>
        </w:rPr>
        <w:t> </w:t>
      </w:r>
      <w:r>
        <w:rPr/>
        <w:t>elevados</w:t>
      </w:r>
      <w:r>
        <w:rPr>
          <w:spacing w:val="-5"/>
        </w:rPr>
        <w:t> </w:t>
      </w:r>
      <w:r>
        <w:rPr/>
        <w:t>como</w:t>
      </w:r>
      <w:r>
        <w:rPr>
          <w:spacing w:val="-7"/>
        </w:rPr>
        <w:t> </w:t>
      </w:r>
      <w:r>
        <w:rPr/>
        <w:t>Seguridad</w:t>
      </w:r>
      <w:r>
        <w:rPr>
          <w:spacing w:val="-7"/>
        </w:rPr>
        <w:t> </w:t>
      </w:r>
      <w:r>
        <w:rPr/>
        <w:t>=</w:t>
      </w:r>
      <w:r>
        <w:rPr>
          <w:spacing w:val="-6"/>
        </w:rPr>
        <w:t> </w:t>
      </w:r>
      <w:r>
        <w:rPr/>
        <w:t>8.00</w:t>
      </w:r>
      <w:r>
        <w:rPr>
          <w:spacing w:val="-6"/>
        </w:rPr>
        <w:t> </w:t>
      </w:r>
      <w:r>
        <w:rPr/>
        <w:t>(B=−1.908)</w:t>
      </w:r>
      <w:r>
        <w:rPr>
          <w:spacing w:val="-6"/>
        </w:rPr>
        <w:t> </w:t>
      </w:r>
      <w:r>
        <w:rPr/>
        <w:t>generan</w:t>
      </w:r>
      <w:r>
        <w:rPr>
          <w:spacing w:val="-7"/>
        </w:rPr>
        <w:t> </w:t>
      </w:r>
      <w:r>
        <w:rPr/>
        <w:t>una</w:t>
      </w:r>
      <w:r>
        <w:rPr>
          <w:spacing w:val="-6"/>
        </w:rPr>
        <w:t> </w:t>
      </w:r>
      <w:r>
        <w:rPr>
          <w:spacing w:val="-2"/>
        </w:rPr>
        <w:t>disminución</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99" w:right="989"/>
        <w:jc w:val="right"/>
      </w:pPr>
      <w:r>
        <w:rPr/>
        <w:t>significativa.</w:t>
      </w:r>
      <w:r>
        <w:rPr>
          <w:spacing w:val="78"/>
        </w:rPr>
        <w:t> </w:t>
      </w:r>
      <w:r>
        <w:rPr/>
        <w:t>Este</w:t>
      </w:r>
      <w:r>
        <w:rPr>
          <w:spacing w:val="80"/>
        </w:rPr>
        <w:t> </w:t>
      </w:r>
      <w:r>
        <w:rPr/>
        <w:t>patrón</w:t>
      </w:r>
      <w:r>
        <w:rPr>
          <w:spacing w:val="77"/>
        </w:rPr>
        <w:t> </w:t>
      </w:r>
      <w:r>
        <w:rPr/>
        <w:t>puede</w:t>
      </w:r>
      <w:r>
        <w:rPr>
          <w:spacing w:val="77"/>
        </w:rPr>
        <w:t> </w:t>
      </w:r>
      <w:r>
        <w:rPr/>
        <w:t>estar</w:t>
      </w:r>
      <w:r>
        <w:rPr>
          <w:spacing w:val="77"/>
        </w:rPr>
        <w:t> </w:t>
      </w:r>
      <w:r>
        <w:rPr/>
        <w:t>relacionado</w:t>
      </w:r>
      <w:r>
        <w:rPr>
          <w:spacing w:val="78"/>
        </w:rPr>
        <w:t> </w:t>
      </w:r>
      <w:r>
        <w:rPr/>
        <w:t>con</w:t>
      </w:r>
      <w:r>
        <w:rPr>
          <w:spacing w:val="79"/>
        </w:rPr>
        <w:t> </w:t>
      </w:r>
      <w:r>
        <w:rPr/>
        <w:t>la</w:t>
      </w:r>
      <w:r>
        <w:rPr>
          <w:spacing w:val="77"/>
        </w:rPr>
        <w:t> </w:t>
      </w:r>
      <w:r>
        <w:rPr/>
        <w:t>percepción</w:t>
      </w:r>
      <w:r>
        <w:rPr>
          <w:spacing w:val="77"/>
        </w:rPr>
        <w:t> </w:t>
      </w:r>
      <w:r>
        <w:rPr/>
        <w:t>de</w:t>
      </w:r>
      <w:r>
        <w:rPr>
          <w:spacing w:val="77"/>
        </w:rPr>
        <w:t> </w:t>
      </w:r>
      <w:r>
        <w:rPr/>
        <w:t>riesgo</w:t>
      </w:r>
      <w:r>
        <w:rPr>
          <w:spacing w:val="77"/>
        </w:rPr>
        <w:t> </w:t>
      </w:r>
      <w:r>
        <w:rPr/>
        <w:t>y</w:t>
      </w:r>
      <w:r>
        <w:rPr>
          <w:spacing w:val="77"/>
        </w:rPr>
        <w:t> </w:t>
      </w:r>
      <w:r>
        <w:rPr/>
        <w:t>la sensibilidad</w:t>
      </w:r>
      <w:r>
        <w:rPr>
          <w:spacing w:val="-8"/>
        </w:rPr>
        <w:t> </w:t>
      </w:r>
      <w:r>
        <w:rPr/>
        <w:t>de</w:t>
      </w:r>
      <w:r>
        <w:rPr>
          <w:spacing w:val="-8"/>
        </w:rPr>
        <w:t> </w:t>
      </w:r>
      <w:r>
        <w:rPr/>
        <w:t>los</w:t>
      </w:r>
      <w:r>
        <w:rPr>
          <w:spacing w:val="-7"/>
        </w:rPr>
        <w:t> </w:t>
      </w:r>
      <w:r>
        <w:rPr/>
        <w:t>comerciantes</w:t>
      </w:r>
      <w:r>
        <w:rPr>
          <w:spacing w:val="-7"/>
        </w:rPr>
        <w:t> </w:t>
      </w:r>
      <w:r>
        <w:rPr/>
        <w:t>a</w:t>
      </w:r>
      <w:r>
        <w:rPr>
          <w:spacing w:val="-6"/>
        </w:rPr>
        <w:t> </w:t>
      </w:r>
      <w:r>
        <w:rPr/>
        <w:t>cambios</w:t>
      </w:r>
      <w:r>
        <w:rPr>
          <w:spacing w:val="-7"/>
        </w:rPr>
        <w:t> </w:t>
      </w:r>
      <w:r>
        <w:rPr/>
        <w:t>drásticos</w:t>
      </w:r>
      <w:r>
        <w:rPr>
          <w:spacing w:val="-7"/>
        </w:rPr>
        <w:t> </w:t>
      </w:r>
      <w:r>
        <w:rPr/>
        <w:t>en</w:t>
      </w:r>
      <w:r>
        <w:rPr>
          <w:spacing w:val="-8"/>
        </w:rPr>
        <w:t> </w:t>
      </w:r>
      <w:r>
        <w:rPr/>
        <w:t>su</w:t>
      </w:r>
      <w:r>
        <w:rPr>
          <w:spacing w:val="-7"/>
        </w:rPr>
        <w:t> </w:t>
      </w:r>
      <w:r>
        <w:rPr/>
        <w:t>entorno</w:t>
      </w:r>
      <w:r>
        <w:rPr>
          <w:spacing w:val="-7"/>
        </w:rPr>
        <w:t> </w:t>
      </w:r>
      <w:r>
        <w:rPr/>
        <w:t>de</w:t>
      </w:r>
      <w:r>
        <w:rPr>
          <w:spacing w:val="-8"/>
        </w:rPr>
        <w:t> </w:t>
      </w:r>
      <w:r>
        <w:rPr/>
        <w:t>seguridad</w:t>
      </w:r>
      <w:r>
        <w:rPr>
          <w:spacing w:val="-5"/>
        </w:rPr>
        <w:t> </w:t>
      </w:r>
      <w:r>
        <w:rPr/>
        <w:t>económica. La</w:t>
      </w:r>
      <w:r>
        <w:rPr>
          <w:spacing w:val="40"/>
        </w:rPr>
        <w:t> </w:t>
      </w:r>
      <w:r>
        <w:rPr/>
        <w:t>tabla</w:t>
      </w:r>
      <w:r>
        <w:rPr>
          <w:spacing w:val="40"/>
        </w:rPr>
        <w:t> </w:t>
      </w:r>
      <w:r>
        <w:rPr/>
        <w:t>presenta</w:t>
      </w:r>
      <w:r>
        <w:rPr>
          <w:spacing w:val="40"/>
        </w:rPr>
        <w:t> </w:t>
      </w:r>
      <w:r>
        <w:rPr/>
        <w:t>los</w:t>
      </w:r>
      <w:r>
        <w:rPr>
          <w:spacing w:val="40"/>
        </w:rPr>
        <w:t> </w:t>
      </w:r>
      <w:r>
        <w:rPr/>
        <w:t>resultados</w:t>
      </w:r>
      <w:r>
        <w:rPr>
          <w:spacing w:val="40"/>
        </w:rPr>
        <w:t> </w:t>
      </w:r>
      <w:r>
        <w:rPr/>
        <w:t>de</w:t>
      </w:r>
      <w:r>
        <w:rPr>
          <w:spacing w:val="40"/>
        </w:rPr>
        <w:t> </w:t>
      </w:r>
      <w:r>
        <w:rPr/>
        <w:t>una</w:t>
      </w:r>
      <w:r>
        <w:rPr>
          <w:spacing w:val="40"/>
        </w:rPr>
        <w:t> </w:t>
      </w:r>
      <w:r>
        <w:rPr/>
        <w:t>regresión</w:t>
      </w:r>
      <w:r>
        <w:rPr>
          <w:spacing w:val="40"/>
        </w:rPr>
        <w:t> </w:t>
      </w:r>
      <w:r>
        <w:rPr/>
        <w:t>multinomial</w:t>
      </w:r>
      <w:r>
        <w:rPr>
          <w:spacing w:val="40"/>
        </w:rPr>
        <w:t> </w:t>
      </w:r>
      <w:r>
        <w:rPr/>
        <w:t>cuyo</w:t>
      </w:r>
      <w:r>
        <w:rPr>
          <w:spacing w:val="40"/>
        </w:rPr>
        <w:t> </w:t>
      </w:r>
      <w:r>
        <w:rPr/>
        <w:t>propósito</w:t>
      </w:r>
      <w:r>
        <w:rPr>
          <w:spacing w:val="40"/>
        </w:rPr>
        <w:t> </w:t>
      </w:r>
      <w:r>
        <w:rPr/>
        <w:t>es explicar</w:t>
      </w:r>
      <w:r>
        <w:rPr>
          <w:spacing w:val="-1"/>
        </w:rPr>
        <w:t> </w:t>
      </w:r>
      <w:r>
        <w:rPr/>
        <w:t>la</w:t>
      </w:r>
      <w:r>
        <w:rPr>
          <w:spacing w:val="-1"/>
        </w:rPr>
        <w:t> </w:t>
      </w:r>
      <w:r>
        <w:rPr/>
        <w:t>variable</w:t>
      </w:r>
      <w:r>
        <w:rPr>
          <w:spacing w:val="-2"/>
        </w:rPr>
        <w:t> </w:t>
      </w:r>
      <w:r>
        <w:rPr/>
        <w:t>dependiente</w:t>
      </w:r>
      <w:r>
        <w:rPr>
          <w:spacing w:val="-2"/>
        </w:rPr>
        <w:t> </w:t>
      </w:r>
      <w:r>
        <w:rPr/>
        <w:t>"Percepción</w:t>
      </w:r>
      <w:r>
        <w:rPr>
          <w:spacing w:val="-2"/>
        </w:rPr>
        <w:t> </w:t>
      </w:r>
      <w:r>
        <w:rPr/>
        <w:t>Económica" en</w:t>
      </w:r>
      <w:r>
        <w:rPr>
          <w:spacing w:val="-2"/>
        </w:rPr>
        <w:t> </w:t>
      </w:r>
      <w:r>
        <w:rPr/>
        <w:t>función</w:t>
      </w:r>
      <w:r>
        <w:rPr>
          <w:spacing w:val="-2"/>
        </w:rPr>
        <w:t> </w:t>
      </w:r>
      <w:r>
        <w:rPr/>
        <w:t>de las</w:t>
      </w:r>
      <w:r>
        <w:rPr>
          <w:spacing w:val="-1"/>
        </w:rPr>
        <w:t> </w:t>
      </w:r>
      <w:r>
        <w:rPr/>
        <w:t>dimensiones</w:t>
      </w:r>
      <w:r>
        <w:rPr>
          <w:spacing w:val="-2"/>
        </w:rPr>
        <w:t> </w:t>
      </w:r>
      <w:r>
        <w:rPr/>
        <w:t>de la variable independientes impuesto general a la venta: Estabilidad, Liquidez y Seguridad. Cada categoría de la variable dependiente es comparada con una categoría de referencia, y los</w:t>
      </w:r>
      <w:r>
        <w:rPr>
          <w:spacing w:val="80"/>
        </w:rPr>
        <w:t> </w:t>
      </w:r>
      <w:r>
        <w:rPr/>
        <w:t>coeficientes</w:t>
      </w:r>
      <w:r>
        <w:rPr>
          <w:spacing w:val="80"/>
        </w:rPr>
        <w:t> </w:t>
      </w:r>
      <w:r>
        <w:rPr/>
        <w:t>BBB,</w:t>
      </w:r>
      <w:r>
        <w:rPr>
          <w:spacing w:val="80"/>
        </w:rPr>
        <w:t> </w:t>
      </w:r>
      <w:r>
        <w:rPr/>
        <w:t>junto</w:t>
      </w:r>
      <w:r>
        <w:rPr>
          <w:spacing w:val="80"/>
        </w:rPr>
        <w:t> </w:t>
      </w:r>
      <w:r>
        <w:rPr/>
        <w:t>con</w:t>
      </w:r>
      <w:r>
        <w:rPr>
          <w:spacing w:val="80"/>
        </w:rPr>
        <w:t> </w:t>
      </w:r>
      <w:r>
        <w:rPr/>
        <w:t>sus</w:t>
      </w:r>
      <w:r>
        <w:rPr>
          <w:spacing w:val="80"/>
        </w:rPr>
        <w:t> </w:t>
      </w:r>
      <w:r>
        <w:rPr/>
        <w:t>estadísticas</w:t>
      </w:r>
      <w:r>
        <w:rPr>
          <w:spacing w:val="80"/>
        </w:rPr>
        <w:t> </w:t>
      </w:r>
      <w:r>
        <w:rPr/>
        <w:t>asociadas</w:t>
      </w:r>
      <w:r>
        <w:rPr>
          <w:spacing w:val="80"/>
        </w:rPr>
        <w:t> </w:t>
      </w:r>
      <w:r>
        <w:rPr/>
        <w:t>(error</w:t>
      </w:r>
      <w:r>
        <w:rPr>
          <w:spacing w:val="80"/>
        </w:rPr>
        <w:t> </w:t>
      </w:r>
      <w:r>
        <w:rPr/>
        <w:t>estándar,</w:t>
      </w:r>
      <w:r>
        <w:rPr>
          <w:spacing w:val="80"/>
        </w:rPr>
        <w:t> </w:t>
      </w:r>
      <w:r>
        <w:rPr/>
        <w:t>Wald</w:t>
      </w:r>
      <w:r>
        <w:rPr>
          <w:spacing w:val="80"/>
        </w:rPr>
        <w:t> </w:t>
      </w:r>
      <w:r>
        <w:rPr/>
        <w:t>y significancia),</w:t>
      </w:r>
      <w:r>
        <w:rPr>
          <w:spacing w:val="-13"/>
        </w:rPr>
        <w:t> </w:t>
      </w:r>
      <w:r>
        <w:rPr/>
        <w:t>ofrecen</w:t>
      </w:r>
      <w:r>
        <w:rPr>
          <w:spacing w:val="-12"/>
        </w:rPr>
        <w:t> </w:t>
      </w:r>
      <w:r>
        <w:rPr/>
        <w:t>información</w:t>
      </w:r>
      <w:r>
        <w:rPr>
          <w:spacing w:val="-12"/>
        </w:rPr>
        <w:t> </w:t>
      </w:r>
      <w:r>
        <w:rPr/>
        <w:t>clave</w:t>
      </w:r>
      <w:r>
        <w:rPr>
          <w:spacing w:val="-12"/>
        </w:rPr>
        <w:t> </w:t>
      </w:r>
      <w:r>
        <w:rPr/>
        <w:t>sobre</w:t>
      </w:r>
      <w:r>
        <w:rPr>
          <w:spacing w:val="-12"/>
        </w:rPr>
        <w:t> </w:t>
      </w:r>
      <w:r>
        <w:rPr/>
        <w:t>la</w:t>
      </w:r>
      <w:r>
        <w:rPr>
          <w:spacing w:val="-13"/>
        </w:rPr>
        <w:t> </w:t>
      </w:r>
      <w:r>
        <w:rPr/>
        <w:t>relación</w:t>
      </w:r>
      <w:r>
        <w:rPr>
          <w:spacing w:val="-12"/>
        </w:rPr>
        <w:t> </w:t>
      </w:r>
      <w:r>
        <w:rPr/>
        <w:t>entre</w:t>
      </w:r>
      <w:r>
        <w:rPr>
          <w:spacing w:val="-11"/>
        </w:rPr>
        <w:t> </w:t>
      </w:r>
      <w:r>
        <w:rPr/>
        <w:t>las</w:t>
      </w:r>
      <w:r>
        <w:rPr>
          <w:spacing w:val="-11"/>
        </w:rPr>
        <w:t> </w:t>
      </w:r>
      <w:r>
        <w:rPr/>
        <w:t>variables</w:t>
      </w:r>
      <w:r>
        <w:rPr>
          <w:spacing w:val="-6"/>
        </w:rPr>
        <w:t> </w:t>
      </w:r>
      <w:r>
        <w:rPr>
          <w:spacing w:val="-2"/>
        </w:rPr>
        <w:t>independientes</w:t>
      </w:r>
    </w:p>
    <w:p>
      <w:pPr>
        <w:pStyle w:val="BodyText"/>
        <w:spacing w:before="1"/>
        <w:ind w:left="143"/>
      </w:pPr>
      <w:r>
        <w:rPr/>
        <w:t>y</w:t>
      </w:r>
      <w:r>
        <w:rPr>
          <w:spacing w:val="-4"/>
        </w:rPr>
        <w:t> </w:t>
      </w:r>
      <w:r>
        <w:rPr/>
        <w:t>las</w:t>
      </w:r>
      <w:r>
        <w:rPr>
          <w:spacing w:val="-2"/>
        </w:rPr>
        <w:t> </w:t>
      </w:r>
      <w:r>
        <w:rPr/>
        <w:t>probabilidades</w:t>
      </w:r>
      <w:r>
        <w:rPr>
          <w:spacing w:val="1"/>
        </w:rPr>
        <w:t> </w:t>
      </w:r>
      <w:r>
        <w:rPr/>
        <w:t>relativas</w:t>
      </w:r>
      <w:r>
        <w:rPr>
          <w:spacing w:val="-2"/>
        </w:rPr>
        <w:t> </w:t>
      </w:r>
      <w:r>
        <w:rPr/>
        <w:t>de</w:t>
      </w:r>
      <w:r>
        <w:rPr>
          <w:spacing w:val="-1"/>
        </w:rPr>
        <w:t> </w:t>
      </w:r>
      <w:r>
        <w:rPr/>
        <w:t>pertenecer</w:t>
      </w:r>
      <w:r>
        <w:rPr>
          <w:spacing w:val="-2"/>
        </w:rPr>
        <w:t> </w:t>
      </w:r>
      <w:r>
        <w:rPr/>
        <w:t>a</w:t>
      </w:r>
      <w:r>
        <w:rPr>
          <w:spacing w:val="-3"/>
        </w:rPr>
        <w:t> </w:t>
      </w:r>
      <w:r>
        <w:rPr/>
        <w:t>cada categoría</w:t>
      </w:r>
      <w:r>
        <w:rPr>
          <w:spacing w:val="-4"/>
        </w:rPr>
        <w:t> </w:t>
      </w:r>
      <w:r>
        <w:rPr/>
        <w:t>de</w:t>
      </w:r>
      <w:r>
        <w:rPr>
          <w:spacing w:val="-1"/>
        </w:rPr>
        <w:t> </w:t>
      </w:r>
      <w:r>
        <w:rPr/>
        <w:t>la</w:t>
      </w:r>
      <w:r>
        <w:rPr>
          <w:spacing w:val="-2"/>
        </w:rPr>
        <w:t> </w:t>
      </w:r>
      <w:r>
        <w:rPr/>
        <w:t>variable</w:t>
      </w:r>
      <w:r>
        <w:rPr>
          <w:spacing w:val="-1"/>
        </w:rPr>
        <w:t> </w:t>
      </w:r>
      <w:r>
        <w:rPr>
          <w:spacing w:val="-2"/>
        </w:rPr>
        <w:t>dependiente.</w:t>
      </w:r>
    </w:p>
    <w:p>
      <w:pPr>
        <w:pStyle w:val="BodyText"/>
      </w:pPr>
    </w:p>
    <w:p>
      <w:pPr>
        <w:pStyle w:val="BodyText"/>
        <w:spacing w:line="480" w:lineRule="auto"/>
        <w:ind w:left="143" w:right="990" w:firstLine="719"/>
        <w:jc w:val="both"/>
      </w:pPr>
      <w:r>
        <w:rPr/>
        <w:t>Interpretación</w:t>
      </w:r>
      <w:r>
        <w:rPr>
          <w:spacing w:val="-15"/>
        </w:rPr>
        <w:t> </w:t>
      </w:r>
      <w:r>
        <w:rPr/>
        <w:t>general</w:t>
      </w:r>
      <w:r>
        <w:rPr>
          <w:spacing w:val="-15"/>
        </w:rPr>
        <w:t> </w:t>
      </w:r>
      <w:r>
        <w:rPr/>
        <w:t>de</w:t>
      </w:r>
      <w:r>
        <w:rPr>
          <w:spacing w:val="-15"/>
        </w:rPr>
        <w:t> </w:t>
      </w:r>
      <w:r>
        <w:rPr/>
        <w:t>los</w:t>
      </w:r>
      <w:r>
        <w:rPr>
          <w:spacing w:val="-15"/>
        </w:rPr>
        <w:t> </w:t>
      </w:r>
      <w:r>
        <w:rPr/>
        <w:t>coeficientes</w:t>
      </w:r>
      <w:r>
        <w:rPr>
          <w:spacing w:val="-15"/>
        </w:rPr>
        <w:t> </w:t>
      </w:r>
      <w:r>
        <w:rPr/>
        <w:t>(B):</w:t>
      </w:r>
      <w:r>
        <w:rPr>
          <w:spacing w:val="-15"/>
        </w:rPr>
        <w:t> </w:t>
      </w:r>
      <w:r>
        <w:rPr/>
        <w:t>Los</w:t>
      </w:r>
      <w:r>
        <w:rPr>
          <w:spacing w:val="-15"/>
        </w:rPr>
        <w:t> </w:t>
      </w:r>
      <w:r>
        <w:rPr/>
        <w:t>coeficientes</w:t>
      </w:r>
      <w:r>
        <w:rPr>
          <w:spacing w:val="-15"/>
        </w:rPr>
        <w:t> </w:t>
      </w:r>
      <w:r>
        <w:rPr/>
        <w:t>B</w:t>
      </w:r>
      <w:r>
        <w:rPr>
          <w:spacing w:val="-15"/>
        </w:rPr>
        <w:t> </w:t>
      </w:r>
      <w:r>
        <w:rPr/>
        <w:t>indican</w:t>
      </w:r>
      <w:r>
        <w:rPr>
          <w:spacing w:val="-15"/>
        </w:rPr>
        <w:t> </w:t>
      </w:r>
      <w:r>
        <w:rPr/>
        <w:t>la</w:t>
      </w:r>
      <w:r>
        <w:rPr>
          <w:spacing w:val="-15"/>
        </w:rPr>
        <w:t> </w:t>
      </w:r>
      <w:r>
        <w:rPr/>
        <w:t>magnitud y dirección de la relación entre las variables independientes y las categorías de la variable dependiente. Un coeficiente positivo implica que un incremento en el nivel de la variable independiente</w:t>
      </w:r>
      <w:r>
        <w:rPr>
          <w:spacing w:val="-15"/>
        </w:rPr>
        <w:t> </w:t>
      </w:r>
      <w:r>
        <w:rPr/>
        <w:t>aumenta</w:t>
      </w:r>
      <w:r>
        <w:rPr>
          <w:spacing w:val="-15"/>
        </w:rPr>
        <w:t> </w:t>
      </w:r>
      <w:r>
        <w:rPr/>
        <w:t>la</w:t>
      </w:r>
      <w:r>
        <w:rPr>
          <w:spacing w:val="-15"/>
        </w:rPr>
        <w:t> </w:t>
      </w:r>
      <w:r>
        <w:rPr/>
        <w:t>probabilidad</w:t>
      </w:r>
      <w:r>
        <w:rPr>
          <w:spacing w:val="-15"/>
        </w:rPr>
        <w:t> </w:t>
      </w:r>
      <w:r>
        <w:rPr/>
        <w:t>de</w:t>
      </w:r>
      <w:r>
        <w:rPr>
          <w:spacing w:val="-12"/>
        </w:rPr>
        <w:t> </w:t>
      </w:r>
      <w:r>
        <w:rPr/>
        <w:t>pertenecer</w:t>
      </w:r>
      <w:r>
        <w:rPr>
          <w:spacing w:val="-15"/>
        </w:rPr>
        <w:t> </w:t>
      </w:r>
      <w:r>
        <w:rPr/>
        <w:t>a</w:t>
      </w:r>
      <w:r>
        <w:rPr>
          <w:spacing w:val="-14"/>
        </w:rPr>
        <w:t> </w:t>
      </w:r>
      <w:r>
        <w:rPr/>
        <w:t>la</w:t>
      </w:r>
      <w:r>
        <w:rPr>
          <w:spacing w:val="-14"/>
        </w:rPr>
        <w:t> </w:t>
      </w:r>
      <w:r>
        <w:rPr/>
        <w:t>categoría</w:t>
      </w:r>
      <w:r>
        <w:rPr>
          <w:spacing w:val="-15"/>
        </w:rPr>
        <w:t> </w:t>
      </w:r>
      <w:r>
        <w:rPr/>
        <w:t>evaluada</w:t>
      </w:r>
      <w:r>
        <w:rPr>
          <w:spacing w:val="-14"/>
        </w:rPr>
        <w:t> </w:t>
      </w:r>
      <w:r>
        <w:rPr/>
        <w:t>en</w:t>
      </w:r>
      <w:r>
        <w:rPr>
          <w:spacing w:val="-14"/>
        </w:rPr>
        <w:t> </w:t>
      </w:r>
      <w:r>
        <w:rPr/>
        <w:t>comparación con</w:t>
      </w:r>
      <w:r>
        <w:rPr>
          <w:spacing w:val="-3"/>
        </w:rPr>
        <w:t> </w:t>
      </w:r>
      <w:r>
        <w:rPr/>
        <w:t>la</w:t>
      </w:r>
      <w:r>
        <w:rPr>
          <w:spacing w:val="-2"/>
        </w:rPr>
        <w:t> </w:t>
      </w:r>
      <w:r>
        <w:rPr/>
        <w:t>categoría</w:t>
      </w:r>
      <w:r>
        <w:rPr>
          <w:spacing w:val="-3"/>
        </w:rPr>
        <w:t> </w:t>
      </w:r>
      <w:r>
        <w:rPr/>
        <w:t>de</w:t>
      </w:r>
      <w:r>
        <w:rPr>
          <w:spacing w:val="-2"/>
        </w:rPr>
        <w:t> </w:t>
      </w:r>
      <w:r>
        <w:rPr/>
        <w:t>referencia,</w:t>
      </w:r>
      <w:r>
        <w:rPr>
          <w:spacing w:val="-3"/>
        </w:rPr>
        <w:t> </w:t>
      </w:r>
      <w:r>
        <w:rPr/>
        <w:t>mientras</w:t>
      </w:r>
      <w:r>
        <w:rPr>
          <w:spacing w:val="-3"/>
        </w:rPr>
        <w:t> </w:t>
      </w:r>
      <w:r>
        <w:rPr/>
        <w:t>que</w:t>
      </w:r>
      <w:r>
        <w:rPr>
          <w:spacing w:val="-3"/>
        </w:rPr>
        <w:t> </w:t>
      </w:r>
      <w:r>
        <w:rPr/>
        <w:t>un</w:t>
      </w:r>
      <w:r>
        <w:rPr>
          <w:spacing w:val="-3"/>
        </w:rPr>
        <w:t> </w:t>
      </w:r>
      <w:r>
        <w:rPr/>
        <w:t>coeficiente</w:t>
      </w:r>
      <w:r>
        <w:rPr>
          <w:spacing w:val="-2"/>
        </w:rPr>
        <w:t> </w:t>
      </w:r>
      <w:r>
        <w:rPr/>
        <w:t>negativo</w:t>
      </w:r>
      <w:r>
        <w:rPr>
          <w:spacing w:val="-2"/>
        </w:rPr>
        <w:t> </w:t>
      </w:r>
      <w:r>
        <w:rPr/>
        <w:t>indica</w:t>
      </w:r>
      <w:r>
        <w:rPr>
          <w:spacing w:val="-3"/>
        </w:rPr>
        <w:t> </w:t>
      </w:r>
      <w:r>
        <w:rPr/>
        <w:t>una</w:t>
      </w:r>
      <w:r>
        <w:rPr>
          <w:spacing w:val="-3"/>
        </w:rPr>
        <w:t> </w:t>
      </w:r>
      <w:r>
        <w:rPr/>
        <w:t>disminución en esta probabilidad. En este caso, los valores positivos, como los encontrados en niveles altos de Estabilidad (por ejemplo, 7.00 y 12.00), muestran que estos niveles incrementan significativamente la probabilidad relativa de pertenecer a ciertas categorías de Percepción Económica, lo cual se refuerza por los valores de Exp(B) mayores a 1. Por el contrario, valores negativos, como en Estabilidad = 5.00 (B=−6.453), reflejan una reducción en la probabilidad relativa, con valores Exp(B) menores a 1.</w:t>
      </w:r>
    </w:p>
    <w:p>
      <w:pPr>
        <w:pStyle w:val="BodyText"/>
        <w:spacing w:line="480" w:lineRule="auto" w:before="1"/>
        <w:ind w:left="143" w:right="990" w:firstLine="719"/>
        <w:jc w:val="both"/>
      </w:pPr>
      <w:r>
        <w:rPr/>
        <w:t>Estabilidad: Esta variable muestra un comportamiento no lineal, donde ciertos niveles incrementan las probabilidades relativas de pertenecer a categorías específicas de Percepción Económica, mientras que otros las disminuyen. Por ejemplo, en el nivel Estabilidad = 7.00 (B=1.97, Exp(B)=7.171), la probabilidad relativa aumenta </w:t>
      </w:r>
      <w:r>
        <w:rPr>
          <w:spacing w:val="-2"/>
        </w:rPr>
        <w:t>considerablemente.</w:t>
      </w:r>
      <w:r>
        <w:rPr>
          <w:spacing w:val="-6"/>
        </w:rPr>
        <w:t> </w:t>
      </w:r>
      <w:r>
        <w:rPr>
          <w:spacing w:val="-2"/>
        </w:rPr>
        <w:t>Sin</w:t>
      </w:r>
      <w:r>
        <w:rPr>
          <w:spacing w:val="-3"/>
        </w:rPr>
        <w:t> </w:t>
      </w:r>
      <w:r>
        <w:rPr>
          <w:spacing w:val="-2"/>
        </w:rPr>
        <w:t>embargo,</w:t>
      </w:r>
      <w:r>
        <w:rPr>
          <w:spacing w:val="-4"/>
        </w:rPr>
        <w:t> </w:t>
      </w:r>
      <w:r>
        <w:rPr>
          <w:spacing w:val="-2"/>
        </w:rPr>
        <w:t>en</w:t>
      </w:r>
      <w:r>
        <w:rPr>
          <w:spacing w:val="-3"/>
        </w:rPr>
        <w:t> </w:t>
      </w:r>
      <w:r>
        <w:rPr>
          <w:spacing w:val="-2"/>
        </w:rPr>
        <w:t>niveles</w:t>
      </w:r>
      <w:r>
        <w:rPr>
          <w:spacing w:val="-3"/>
        </w:rPr>
        <w:t> </w:t>
      </w:r>
      <w:r>
        <w:rPr>
          <w:spacing w:val="-2"/>
        </w:rPr>
        <w:t>como Estabilidad</w:t>
      </w:r>
      <w:r>
        <w:rPr>
          <w:spacing w:val="-3"/>
        </w:rPr>
        <w:t> </w:t>
      </w:r>
      <w:r>
        <w:rPr>
          <w:spacing w:val="-2"/>
        </w:rPr>
        <w:t>=</w:t>
      </w:r>
      <w:r>
        <w:rPr>
          <w:spacing w:val="-3"/>
        </w:rPr>
        <w:t> </w:t>
      </w:r>
      <w:r>
        <w:rPr>
          <w:spacing w:val="-2"/>
        </w:rPr>
        <w:t>8.00 (B=−1.274),</w:t>
      </w:r>
      <w:r>
        <w:rPr>
          <w:spacing w:val="-5"/>
        </w:rPr>
        <w:t> </w:t>
      </w:r>
      <w:r>
        <w:rPr>
          <w:spacing w:val="-2"/>
        </w:rPr>
        <w:t>se</w:t>
      </w:r>
      <w:r>
        <w:rPr>
          <w:spacing w:val="-4"/>
        </w:rPr>
        <w:t> </w:t>
      </w:r>
      <w:r>
        <w:rPr>
          <w:spacing w:val="-2"/>
        </w:rPr>
        <w:t>observa</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43" w:right="992"/>
        <w:jc w:val="both"/>
      </w:pPr>
      <w:r>
        <w:rPr/>
        <w:t>una reducción significativa en las probabilidades relativas. Esto sugiere que los niveles de estabilidad</w:t>
      </w:r>
      <w:r>
        <w:rPr>
          <w:spacing w:val="-9"/>
        </w:rPr>
        <w:t> </w:t>
      </w:r>
      <w:r>
        <w:rPr/>
        <w:t>no</w:t>
      </w:r>
      <w:r>
        <w:rPr>
          <w:spacing w:val="-7"/>
        </w:rPr>
        <w:t> </w:t>
      </w:r>
      <w:r>
        <w:rPr/>
        <w:t>afectan</w:t>
      </w:r>
      <w:r>
        <w:rPr>
          <w:spacing w:val="-8"/>
        </w:rPr>
        <w:t> </w:t>
      </w:r>
      <w:r>
        <w:rPr/>
        <w:t>de</w:t>
      </w:r>
      <w:r>
        <w:rPr>
          <w:spacing w:val="-9"/>
        </w:rPr>
        <w:t> </w:t>
      </w:r>
      <w:r>
        <w:rPr/>
        <w:t>manera</w:t>
      </w:r>
      <w:r>
        <w:rPr>
          <w:spacing w:val="-9"/>
        </w:rPr>
        <w:t> </w:t>
      </w:r>
      <w:r>
        <w:rPr/>
        <w:t>uniforme</w:t>
      </w:r>
      <w:r>
        <w:rPr>
          <w:spacing w:val="-8"/>
        </w:rPr>
        <w:t> </w:t>
      </w:r>
      <w:r>
        <w:rPr/>
        <w:t>la</w:t>
      </w:r>
      <w:r>
        <w:rPr>
          <w:spacing w:val="-8"/>
        </w:rPr>
        <w:t> </w:t>
      </w:r>
      <w:r>
        <w:rPr/>
        <w:t>percepción</w:t>
      </w:r>
      <w:r>
        <w:rPr>
          <w:spacing w:val="-8"/>
        </w:rPr>
        <w:t> </w:t>
      </w:r>
      <w:r>
        <w:rPr/>
        <w:t>económica</w:t>
      </w:r>
      <w:r>
        <w:rPr>
          <w:spacing w:val="-7"/>
        </w:rPr>
        <w:t> </w:t>
      </w:r>
      <w:r>
        <w:rPr/>
        <w:t>y</w:t>
      </w:r>
      <w:r>
        <w:rPr>
          <w:spacing w:val="-8"/>
        </w:rPr>
        <w:t> </w:t>
      </w:r>
      <w:r>
        <w:rPr/>
        <w:t>que</w:t>
      </w:r>
      <w:r>
        <w:rPr>
          <w:spacing w:val="-9"/>
        </w:rPr>
        <w:t> </w:t>
      </w:r>
      <w:r>
        <w:rPr/>
        <w:t>podría</w:t>
      </w:r>
      <w:r>
        <w:rPr>
          <w:spacing w:val="-8"/>
        </w:rPr>
        <w:t> </w:t>
      </w:r>
      <w:r>
        <w:rPr/>
        <w:t>existir</w:t>
      </w:r>
      <w:r>
        <w:rPr>
          <w:spacing w:val="-8"/>
        </w:rPr>
        <w:t> </w:t>
      </w:r>
      <w:r>
        <w:rPr/>
        <w:t>una interacción con otras variables o factores contextuales.</w:t>
      </w:r>
    </w:p>
    <w:p>
      <w:pPr>
        <w:pStyle w:val="BodyText"/>
        <w:spacing w:line="480" w:lineRule="auto" w:before="1"/>
        <w:ind w:left="143" w:right="992" w:firstLine="719"/>
        <w:jc w:val="both"/>
      </w:pPr>
      <w:r>
        <w:rPr/>
        <w:t>Liquidez: Esta variable presenta un patrón mixto, en el que niveles bajos como Liquidez = 5.00 (B=5.430, Exp(B)=228.205) tienen un impacto positivo significativo, aumentando las probabilidades relativas de pertenecer a ciertas categorías de Percepción Económica. Sin embargo, niveles más altos como Liquidez = 12.00 (B=−10.905, Exp(B)=0.00001837) reflejan una fuerte reducción en las probabilidades relativas, sugiriendo</w:t>
      </w:r>
      <w:r>
        <w:rPr>
          <w:spacing w:val="-1"/>
        </w:rPr>
        <w:t> </w:t>
      </w:r>
      <w:r>
        <w:rPr/>
        <w:t>que</w:t>
      </w:r>
      <w:r>
        <w:rPr>
          <w:spacing w:val="-1"/>
        </w:rPr>
        <w:t> </w:t>
      </w:r>
      <w:r>
        <w:rPr/>
        <w:t>un exceso de</w:t>
      </w:r>
      <w:r>
        <w:rPr>
          <w:spacing w:val="-1"/>
        </w:rPr>
        <w:t> </w:t>
      </w:r>
      <w:r>
        <w:rPr/>
        <w:t>liquidez</w:t>
      </w:r>
      <w:r>
        <w:rPr>
          <w:spacing w:val="-1"/>
        </w:rPr>
        <w:t> </w:t>
      </w:r>
      <w:r>
        <w:rPr/>
        <w:t>percibida</w:t>
      </w:r>
      <w:r>
        <w:rPr>
          <w:spacing w:val="-1"/>
        </w:rPr>
        <w:t> </w:t>
      </w:r>
      <w:r>
        <w:rPr/>
        <w:t>podría</w:t>
      </w:r>
      <w:r>
        <w:rPr>
          <w:spacing w:val="-2"/>
        </w:rPr>
        <w:t> </w:t>
      </w:r>
      <w:r>
        <w:rPr/>
        <w:t>estar</w:t>
      </w:r>
      <w:r>
        <w:rPr>
          <w:spacing w:val="-1"/>
        </w:rPr>
        <w:t> </w:t>
      </w:r>
      <w:r>
        <w:rPr/>
        <w:t>asociado</w:t>
      </w:r>
      <w:r>
        <w:rPr>
          <w:spacing w:val="-1"/>
        </w:rPr>
        <w:t> </w:t>
      </w:r>
      <w:r>
        <w:rPr/>
        <w:t>a percepciones menos favorables en algunos contextos económicos. Este patrón indica que la relación entre la liquidez percibida y la percepción económica podría</w:t>
      </w:r>
      <w:r>
        <w:rPr>
          <w:spacing w:val="-1"/>
        </w:rPr>
        <w:t> </w:t>
      </w:r>
      <w:r>
        <w:rPr/>
        <w:t>estar mediada</w:t>
      </w:r>
      <w:r>
        <w:rPr>
          <w:spacing w:val="-1"/>
        </w:rPr>
        <w:t> </w:t>
      </w:r>
      <w:r>
        <w:rPr/>
        <w:t>por otros factores como el contexto económico o el sector específico evaluado.</w:t>
      </w:r>
    </w:p>
    <w:p>
      <w:pPr>
        <w:pStyle w:val="BodyText"/>
        <w:spacing w:line="480" w:lineRule="auto" w:before="1"/>
        <w:ind w:left="143" w:right="993" w:firstLine="719"/>
        <w:jc w:val="both"/>
      </w:pPr>
      <w:r>
        <w:rPr/>
        <w:t>Seguridad: La variable Seguridad también muestra una relación diferenciada con la percepción económica. Por ejemplo, en Seguridad = 4.00 (B=1.938B = 1.938, Exp(B) = 6.943),</w:t>
      </w:r>
      <w:r>
        <w:rPr>
          <w:spacing w:val="-6"/>
        </w:rPr>
        <w:t> </w:t>
      </w:r>
      <w:r>
        <w:rPr/>
        <w:t>se</w:t>
      </w:r>
      <w:r>
        <w:rPr>
          <w:spacing w:val="-3"/>
        </w:rPr>
        <w:t> </w:t>
      </w:r>
      <w:r>
        <w:rPr/>
        <w:t>observa</w:t>
      </w:r>
      <w:r>
        <w:rPr>
          <w:spacing w:val="-4"/>
        </w:rPr>
        <w:t> </w:t>
      </w:r>
      <w:r>
        <w:rPr/>
        <w:t>un</w:t>
      </w:r>
      <w:r>
        <w:rPr>
          <w:spacing w:val="-5"/>
        </w:rPr>
        <w:t> </w:t>
      </w:r>
      <w:r>
        <w:rPr/>
        <w:t>incremento</w:t>
      </w:r>
      <w:r>
        <w:rPr>
          <w:spacing w:val="-5"/>
        </w:rPr>
        <w:t> </w:t>
      </w:r>
      <w:r>
        <w:rPr/>
        <w:t>en</w:t>
      </w:r>
      <w:r>
        <w:rPr>
          <w:spacing w:val="-4"/>
        </w:rPr>
        <w:t> </w:t>
      </w:r>
      <w:r>
        <w:rPr/>
        <w:t>las</w:t>
      </w:r>
      <w:r>
        <w:rPr>
          <w:spacing w:val="-3"/>
        </w:rPr>
        <w:t> </w:t>
      </w:r>
      <w:r>
        <w:rPr/>
        <w:t>probabilidades</w:t>
      </w:r>
      <w:r>
        <w:rPr>
          <w:spacing w:val="-3"/>
        </w:rPr>
        <w:t> </w:t>
      </w:r>
      <w:r>
        <w:rPr/>
        <w:t>relativas,</w:t>
      </w:r>
      <w:r>
        <w:rPr>
          <w:spacing w:val="-4"/>
        </w:rPr>
        <w:t> </w:t>
      </w:r>
      <w:r>
        <w:rPr/>
        <w:t>mientras</w:t>
      </w:r>
      <w:r>
        <w:rPr>
          <w:spacing w:val="-3"/>
        </w:rPr>
        <w:t> </w:t>
      </w:r>
      <w:r>
        <w:rPr/>
        <w:t>que</w:t>
      </w:r>
      <w:r>
        <w:rPr>
          <w:spacing w:val="-4"/>
        </w:rPr>
        <w:t> </w:t>
      </w:r>
      <w:r>
        <w:rPr/>
        <w:t>en</w:t>
      </w:r>
      <w:r>
        <w:rPr>
          <w:spacing w:val="-4"/>
        </w:rPr>
        <w:t> </w:t>
      </w:r>
      <w:r>
        <w:rPr>
          <w:spacing w:val="-2"/>
        </w:rPr>
        <w:t>Seguridad</w:t>
      </w:r>
    </w:p>
    <w:p>
      <w:pPr>
        <w:pStyle w:val="BodyText"/>
        <w:spacing w:line="480" w:lineRule="auto"/>
        <w:ind w:left="143" w:right="989"/>
        <w:jc w:val="both"/>
      </w:pPr>
      <w:r>
        <w:rPr/>
        <w:t>= 8.00 (B=−1.908, Exp(B)=0.148) las probabilidades disminuyen de forma considerable. Este comportamiento podría estar relacionado con la percepción de riesgo en diferentes niveles</w:t>
      </w:r>
      <w:r>
        <w:rPr>
          <w:spacing w:val="-4"/>
        </w:rPr>
        <w:t> </w:t>
      </w:r>
      <w:r>
        <w:rPr/>
        <w:t>de</w:t>
      </w:r>
      <w:r>
        <w:rPr>
          <w:spacing w:val="-4"/>
        </w:rPr>
        <w:t> </w:t>
      </w:r>
      <w:r>
        <w:rPr/>
        <w:t>seguridad,</w:t>
      </w:r>
      <w:r>
        <w:rPr>
          <w:spacing w:val="-3"/>
        </w:rPr>
        <w:t> </w:t>
      </w:r>
      <w:r>
        <w:rPr/>
        <w:t>donde</w:t>
      </w:r>
      <w:r>
        <w:rPr>
          <w:spacing w:val="-4"/>
        </w:rPr>
        <w:t> </w:t>
      </w:r>
      <w:r>
        <w:rPr/>
        <w:t>un</w:t>
      </w:r>
      <w:r>
        <w:rPr>
          <w:spacing w:val="-4"/>
        </w:rPr>
        <w:t> </w:t>
      </w:r>
      <w:r>
        <w:rPr/>
        <w:t>aumento</w:t>
      </w:r>
      <w:r>
        <w:rPr>
          <w:spacing w:val="-4"/>
        </w:rPr>
        <w:t> </w:t>
      </w:r>
      <w:r>
        <w:rPr/>
        <w:t>moderado</w:t>
      </w:r>
      <w:r>
        <w:rPr>
          <w:spacing w:val="-4"/>
        </w:rPr>
        <w:t> </w:t>
      </w:r>
      <w:r>
        <w:rPr/>
        <w:t>puede</w:t>
      </w:r>
      <w:r>
        <w:rPr>
          <w:spacing w:val="-4"/>
        </w:rPr>
        <w:t> </w:t>
      </w:r>
      <w:r>
        <w:rPr/>
        <w:t>ser</w:t>
      </w:r>
      <w:r>
        <w:rPr>
          <w:spacing w:val="-3"/>
        </w:rPr>
        <w:t> </w:t>
      </w:r>
      <w:r>
        <w:rPr/>
        <w:t>percibido</w:t>
      </w:r>
      <w:r>
        <w:rPr>
          <w:spacing w:val="-3"/>
        </w:rPr>
        <w:t> </w:t>
      </w:r>
      <w:r>
        <w:rPr/>
        <w:t>como</w:t>
      </w:r>
      <w:r>
        <w:rPr>
          <w:spacing w:val="-4"/>
        </w:rPr>
        <w:t> </w:t>
      </w:r>
      <w:r>
        <w:rPr/>
        <w:t>positivo,</w:t>
      </w:r>
      <w:r>
        <w:rPr>
          <w:spacing w:val="-1"/>
        </w:rPr>
        <w:t> </w:t>
      </w:r>
      <w:r>
        <w:rPr/>
        <w:t>pero niveles excesivamente altos o bajos podrían generar incertidumbre en los individuos.</w:t>
      </w:r>
    </w:p>
    <w:p>
      <w:pPr>
        <w:pStyle w:val="BodyText"/>
        <w:spacing w:line="480" w:lineRule="auto"/>
        <w:ind w:left="143" w:right="992" w:firstLine="719"/>
        <w:jc w:val="both"/>
      </w:pPr>
      <w:r>
        <w:rPr/>
        <w:t>Estadísticas de significancia (p): En general, la mayoría de los coeficientes son estadísticamente significativos (p&lt;0.05), lo que refuerza la validez de los resultados obtenidos. Sin embargo, algunos coeficientes presentan intervalos de confianza extremadamente</w:t>
      </w:r>
      <w:r>
        <w:rPr>
          <w:spacing w:val="-5"/>
        </w:rPr>
        <w:t> </w:t>
      </w:r>
      <w:r>
        <w:rPr/>
        <w:t>amplios</w:t>
      </w:r>
      <w:r>
        <w:rPr>
          <w:spacing w:val="-3"/>
        </w:rPr>
        <w:t> </w:t>
      </w:r>
      <w:r>
        <w:rPr/>
        <w:t>o</w:t>
      </w:r>
      <w:r>
        <w:rPr>
          <w:spacing w:val="-3"/>
        </w:rPr>
        <w:t> </w:t>
      </w:r>
      <w:r>
        <w:rPr/>
        <w:t>valores</w:t>
      </w:r>
      <w:r>
        <w:rPr>
          <w:spacing w:val="-3"/>
        </w:rPr>
        <w:t> </w:t>
      </w:r>
      <w:r>
        <w:rPr/>
        <w:t>de</w:t>
      </w:r>
      <w:r>
        <w:rPr>
          <w:spacing w:val="-3"/>
        </w:rPr>
        <w:t> </w:t>
      </w:r>
      <w:r>
        <w:rPr/>
        <w:t>Exp(B)</w:t>
      </w:r>
      <w:r>
        <w:rPr>
          <w:spacing w:val="-3"/>
        </w:rPr>
        <w:t> </w:t>
      </w:r>
      <w:r>
        <w:rPr/>
        <w:t>muy</w:t>
      </w:r>
      <w:r>
        <w:rPr>
          <w:spacing w:val="-3"/>
        </w:rPr>
        <w:t> </w:t>
      </w:r>
      <w:r>
        <w:rPr/>
        <w:t>altos</w:t>
      </w:r>
      <w:r>
        <w:rPr>
          <w:spacing w:val="-3"/>
        </w:rPr>
        <w:t> </w:t>
      </w:r>
      <w:r>
        <w:rPr/>
        <w:t>o</w:t>
      </w:r>
      <w:r>
        <w:rPr>
          <w:spacing w:val="-3"/>
        </w:rPr>
        <w:t> </w:t>
      </w:r>
      <w:r>
        <w:rPr/>
        <w:t>muy</w:t>
      </w:r>
      <w:r>
        <w:rPr>
          <w:spacing w:val="-3"/>
        </w:rPr>
        <w:t> </w:t>
      </w:r>
      <w:r>
        <w:rPr/>
        <w:t>bajos,</w:t>
      </w:r>
      <w:r>
        <w:rPr>
          <w:spacing w:val="-3"/>
        </w:rPr>
        <w:t> </w:t>
      </w:r>
      <w:r>
        <w:rPr/>
        <w:t>lo</w:t>
      </w:r>
      <w:r>
        <w:rPr>
          <w:spacing w:val="-3"/>
        </w:rPr>
        <w:t> </w:t>
      </w:r>
      <w:r>
        <w:rPr/>
        <w:t>cual</w:t>
      </w:r>
      <w:r>
        <w:rPr>
          <w:spacing w:val="-4"/>
        </w:rPr>
        <w:t> </w:t>
      </w:r>
      <w:r>
        <w:rPr/>
        <w:t>podría</w:t>
      </w:r>
      <w:r>
        <w:rPr>
          <w:spacing w:val="-3"/>
        </w:rPr>
        <w:t> </w:t>
      </w:r>
      <w:r>
        <w:rPr/>
        <w:t>indicar problemas de estabilidad en el modelo, como colinealidad o insuficiencia en el tamaño de muestra para ciertas categorías.</w:t>
      </w:r>
    </w:p>
    <w:p>
      <w:pPr>
        <w:pStyle w:val="BodyText"/>
        <w:spacing w:after="0" w:line="480" w:lineRule="auto"/>
        <w:jc w:val="both"/>
        <w:sectPr>
          <w:pgSz w:w="11910" w:h="16840"/>
          <w:pgMar w:header="0" w:footer="693" w:top="1340" w:bottom="880" w:left="1559" w:right="425"/>
        </w:sectPr>
      </w:pPr>
    </w:p>
    <w:p>
      <w:pPr>
        <w:pStyle w:val="Heading3"/>
        <w:numPr>
          <w:ilvl w:val="1"/>
          <w:numId w:val="20"/>
        </w:numPr>
        <w:tabs>
          <w:tab w:pos="568" w:val="left" w:leader="none"/>
        </w:tabs>
        <w:spacing w:line="240" w:lineRule="auto" w:before="66" w:after="0"/>
        <w:ind w:left="568" w:right="0" w:hanging="425"/>
        <w:jc w:val="left"/>
      </w:pPr>
      <w:bookmarkStart w:name="_bookmark74" w:id="75"/>
      <w:bookmarkEnd w:id="75"/>
      <w:r>
        <w:rPr>
          <w:b w:val="0"/>
        </w:rPr>
      </w:r>
      <w:r>
        <w:rPr/>
        <w:t>Discusión</w:t>
      </w:r>
      <w:r>
        <w:rPr>
          <w:spacing w:val="-1"/>
        </w:rPr>
        <w:t> </w:t>
      </w:r>
      <w:r>
        <w:rPr/>
        <w:t>de </w:t>
      </w:r>
      <w:r>
        <w:rPr>
          <w:spacing w:val="-2"/>
        </w:rPr>
        <w:t>resultados</w:t>
      </w:r>
    </w:p>
    <w:p>
      <w:pPr>
        <w:pStyle w:val="BodyText"/>
        <w:rPr>
          <w:b/>
        </w:rPr>
      </w:pPr>
    </w:p>
    <w:p>
      <w:pPr>
        <w:pStyle w:val="BodyText"/>
        <w:spacing w:line="480" w:lineRule="auto"/>
        <w:ind w:left="143" w:right="987" w:firstLine="779"/>
        <w:jc w:val="both"/>
      </w:pPr>
      <w:r>
        <w:rPr/>
        <w:t>La presente investigación, de nivel explicativo, ha demostrado que el Impuesto General de las Ventas (IGV) influye significativamente en la percepción económica de los comerciantes</w:t>
      </w:r>
      <w:r>
        <w:rPr>
          <w:spacing w:val="40"/>
        </w:rPr>
        <w:t> </w:t>
      </w:r>
      <w:r>
        <w:rPr/>
        <w:t>del centro de abastos Las Mercedes de Juliaca, 2023. El índice de determinación R² de 0.537 indica que el IGV explica el 53.7% de las variaciones en la percepción económica de los vendedores, lo cual evidencia una conexión directa del comportamiento fiscal y las condiciones económicas percibidas por estos actores. Este resultado</w:t>
      </w:r>
      <w:r>
        <w:rPr>
          <w:spacing w:val="-11"/>
        </w:rPr>
        <w:t> </w:t>
      </w:r>
      <w:r>
        <w:rPr/>
        <w:t>concuerda</w:t>
      </w:r>
      <w:r>
        <w:rPr>
          <w:spacing w:val="-11"/>
        </w:rPr>
        <w:t> </w:t>
      </w:r>
      <w:r>
        <w:rPr/>
        <w:t>con</w:t>
      </w:r>
      <w:r>
        <w:rPr>
          <w:spacing w:val="-13"/>
        </w:rPr>
        <w:t> </w:t>
      </w:r>
      <w:r>
        <w:rPr/>
        <w:t>el</w:t>
      </w:r>
      <w:r>
        <w:rPr>
          <w:spacing w:val="-12"/>
        </w:rPr>
        <w:t> </w:t>
      </w:r>
      <w:r>
        <w:rPr/>
        <w:t>propósito</w:t>
      </w:r>
      <w:r>
        <w:rPr>
          <w:spacing w:val="-11"/>
        </w:rPr>
        <w:t> </w:t>
      </w:r>
      <w:r>
        <w:rPr/>
        <w:t>explicativo</w:t>
      </w:r>
      <w:r>
        <w:rPr>
          <w:spacing w:val="-13"/>
        </w:rPr>
        <w:t> </w:t>
      </w:r>
      <w:r>
        <w:rPr/>
        <w:t>del</w:t>
      </w:r>
      <w:r>
        <w:rPr>
          <w:spacing w:val="-13"/>
        </w:rPr>
        <w:t> </w:t>
      </w:r>
      <w:r>
        <w:rPr/>
        <w:t>estudio,</w:t>
      </w:r>
      <w:r>
        <w:rPr>
          <w:spacing w:val="-13"/>
        </w:rPr>
        <w:t> </w:t>
      </w:r>
      <w:r>
        <w:rPr/>
        <w:t>que</w:t>
      </w:r>
      <w:r>
        <w:rPr>
          <w:spacing w:val="-13"/>
        </w:rPr>
        <w:t> </w:t>
      </w:r>
      <w:r>
        <w:rPr/>
        <w:t>busca</w:t>
      </w:r>
      <w:r>
        <w:rPr>
          <w:spacing w:val="-12"/>
        </w:rPr>
        <w:t> </w:t>
      </w:r>
      <w:r>
        <w:rPr/>
        <w:t>identificar</w:t>
      </w:r>
      <w:r>
        <w:rPr>
          <w:spacing w:val="-12"/>
        </w:rPr>
        <w:t> </w:t>
      </w:r>
      <w:r>
        <w:rPr/>
        <w:t>las</w:t>
      </w:r>
      <w:r>
        <w:rPr>
          <w:spacing w:val="-12"/>
        </w:rPr>
        <w:t> </w:t>
      </w:r>
      <w:r>
        <w:rPr/>
        <w:t>causas subyacentes a la forma en que el IGV afecta las percepciones económicas. El alto nivel de confiabilidad de ambos instrumentos, con Alfa de Cronbach de 0.942 para el IGV y 0.944 para la percepción económica, asegura la consistencia de las mediciones, lo que otorga robustez a los hallazgos. La normalidad de la información, validada por la prueba de Kolmogórov-Smirnov (p = 0.200 y 0.068), permitió utilizar métodos estadísticos paramétricos adecuados, como el ANOVA, que mostró una significancia de 0.000, confirmando</w:t>
      </w:r>
      <w:r>
        <w:rPr>
          <w:spacing w:val="-15"/>
        </w:rPr>
        <w:t> </w:t>
      </w:r>
      <w:r>
        <w:rPr/>
        <w:t>la</w:t>
      </w:r>
      <w:r>
        <w:rPr>
          <w:spacing w:val="-15"/>
        </w:rPr>
        <w:t> </w:t>
      </w:r>
      <w:r>
        <w:rPr/>
        <w:t>validez</w:t>
      </w:r>
      <w:r>
        <w:rPr>
          <w:spacing w:val="-15"/>
        </w:rPr>
        <w:t> </w:t>
      </w:r>
      <w:r>
        <w:rPr/>
        <w:t>del</w:t>
      </w:r>
      <w:r>
        <w:rPr>
          <w:spacing w:val="-15"/>
        </w:rPr>
        <w:t> </w:t>
      </w:r>
      <w:r>
        <w:rPr/>
        <w:t>modelo</w:t>
      </w:r>
      <w:r>
        <w:rPr>
          <w:spacing w:val="-15"/>
        </w:rPr>
        <w:t> </w:t>
      </w:r>
      <w:r>
        <w:rPr/>
        <w:t>explicativo</w:t>
      </w:r>
      <w:r>
        <w:rPr>
          <w:spacing w:val="-15"/>
        </w:rPr>
        <w:t> </w:t>
      </w:r>
      <w:r>
        <w:rPr/>
        <w:t>con</w:t>
      </w:r>
      <w:r>
        <w:rPr>
          <w:spacing w:val="-15"/>
        </w:rPr>
        <w:t> </w:t>
      </w:r>
      <w:r>
        <w:rPr/>
        <w:t>un</w:t>
      </w:r>
      <w:r>
        <w:rPr>
          <w:spacing w:val="-15"/>
        </w:rPr>
        <w:t> </w:t>
      </w:r>
      <w:r>
        <w:rPr/>
        <w:t>margen</w:t>
      </w:r>
      <w:r>
        <w:rPr>
          <w:spacing w:val="-15"/>
        </w:rPr>
        <w:t> </w:t>
      </w:r>
      <w:r>
        <w:rPr/>
        <w:t>de</w:t>
      </w:r>
      <w:r>
        <w:rPr>
          <w:spacing w:val="-15"/>
        </w:rPr>
        <w:t> </w:t>
      </w:r>
      <w:r>
        <w:rPr/>
        <w:t>error</w:t>
      </w:r>
      <w:r>
        <w:rPr>
          <w:spacing w:val="-15"/>
        </w:rPr>
        <w:t> </w:t>
      </w:r>
      <w:r>
        <w:rPr/>
        <w:t>del</w:t>
      </w:r>
      <w:r>
        <w:rPr>
          <w:spacing w:val="-15"/>
        </w:rPr>
        <w:t> </w:t>
      </w:r>
      <w:r>
        <w:rPr/>
        <w:t>5%.</w:t>
      </w:r>
      <w:r>
        <w:rPr>
          <w:spacing w:val="-15"/>
        </w:rPr>
        <w:t> </w:t>
      </w:r>
      <w:r>
        <w:rPr/>
        <w:t>Este</w:t>
      </w:r>
      <w:r>
        <w:rPr>
          <w:spacing w:val="-15"/>
        </w:rPr>
        <w:t> </w:t>
      </w:r>
      <w:r>
        <w:rPr/>
        <w:t>resultado es</w:t>
      </w:r>
      <w:r>
        <w:rPr>
          <w:spacing w:val="-9"/>
        </w:rPr>
        <w:t> </w:t>
      </w:r>
      <w:r>
        <w:rPr/>
        <w:t>consistente</w:t>
      </w:r>
      <w:r>
        <w:rPr>
          <w:spacing w:val="-10"/>
        </w:rPr>
        <w:t> </w:t>
      </w:r>
      <w:r>
        <w:rPr/>
        <w:t>con</w:t>
      </w:r>
      <w:r>
        <w:rPr>
          <w:spacing w:val="-8"/>
        </w:rPr>
        <w:t> </w:t>
      </w:r>
      <w:r>
        <w:rPr/>
        <w:t>investigaciones</w:t>
      </w:r>
      <w:r>
        <w:rPr>
          <w:spacing w:val="-9"/>
        </w:rPr>
        <w:t> </w:t>
      </w:r>
      <w:r>
        <w:rPr/>
        <w:t>previas,</w:t>
      </w:r>
      <w:r>
        <w:rPr>
          <w:spacing w:val="-9"/>
        </w:rPr>
        <w:t> </w:t>
      </w:r>
      <w:r>
        <w:rPr/>
        <w:t>como</w:t>
      </w:r>
      <w:r>
        <w:rPr>
          <w:spacing w:val="-8"/>
        </w:rPr>
        <w:t> </w:t>
      </w:r>
      <w:r>
        <w:rPr/>
        <w:t>las</w:t>
      </w:r>
      <w:r>
        <w:rPr>
          <w:spacing w:val="-9"/>
        </w:rPr>
        <w:t> </w:t>
      </w:r>
      <w:r>
        <w:rPr/>
        <w:t>de</w:t>
      </w:r>
      <w:r>
        <w:rPr>
          <w:spacing w:val="-8"/>
        </w:rPr>
        <w:t> </w:t>
      </w:r>
      <w:r>
        <w:rPr/>
        <w:t>García</w:t>
      </w:r>
      <w:r>
        <w:rPr>
          <w:spacing w:val="-6"/>
        </w:rPr>
        <w:t> </w:t>
      </w:r>
      <w:r>
        <w:rPr/>
        <w:t>(2020),</w:t>
      </w:r>
      <w:r>
        <w:rPr>
          <w:spacing w:val="-9"/>
        </w:rPr>
        <w:t> </w:t>
      </w:r>
      <w:r>
        <w:rPr/>
        <w:t>que</w:t>
      </w:r>
      <w:r>
        <w:rPr>
          <w:spacing w:val="-10"/>
        </w:rPr>
        <w:t> </w:t>
      </w:r>
      <w:r>
        <w:rPr/>
        <w:t>también</w:t>
      </w:r>
      <w:r>
        <w:rPr>
          <w:spacing w:val="-3"/>
        </w:rPr>
        <w:t> </w:t>
      </w:r>
      <w:r>
        <w:rPr/>
        <w:t>reportan cómo las cargas fiscales impactan en la percepción económica de comerciantes, demostrando</w:t>
      </w:r>
      <w:r>
        <w:rPr>
          <w:spacing w:val="-15"/>
        </w:rPr>
        <w:t> </w:t>
      </w:r>
      <w:r>
        <w:rPr/>
        <w:t>que</w:t>
      </w:r>
      <w:r>
        <w:rPr>
          <w:spacing w:val="-15"/>
        </w:rPr>
        <w:t> </w:t>
      </w:r>
      <w:r>
        <w:rPr/>
        <w:t>impuestos</w:t>
      </w:r>
      <w:r>
        <w:rPr>
          <w:spacing w:val="-15"/>
        </w:rPr>
        <w:t> </w:t>
      </w:r>
      <w:r>
        <w:rPr/>
        <w:t>como</w:t>
      </w:r>
      <w:r>
        <w:rPr>
          <w:spacing w:val="-15"/>
        </w:rPr>
        <w:t> </w:t>
      </w:r>
      <w:r>
        <w:rPr/>
        <w:t>el</w:t>
      </w:r>
      <w:r>
        <w:rPr>
          <w:spacing w:val="-15"/>
        </w:rPr>
        <w:t> </w:t>
      </w:r>
      <w:r>
        <w:rPr/>
        <w:t>IGV</w:t>
      </w:r>
      <w:r>
        <w:rPr>
          <w:spacing w:val="-15"/>
        </w:rPr>
        <w:t> </w:t>
      </w:r>
      <w:r>
        <w:rPr/>
        <w:t>pueden</w:t>
      </w:r>
      <w:r>
        <w:rPr>
          <w:spacing w:val="-15"/>
        </w:rPr>
        <w:t> </w:t>
      </w:r>
      <w:r>
        <w:rPr/>
        <w:t>ser</w:t>
      </w:r>
      <w:r>
        <w:rPr>
          <w:spacing w:val="-15"/>
        </w:rPr>
        <w:t> </w:t>
      </w:r>
      <w:r>
        <w:rPr/>
        <w:t>un</w:t>
      </w:r>
      <w:r>
        <w:rPr>
          <w:spacing w:val="-15"/>
        </w:rPr>
        <w:t> </w:t>
      </w:r>
      <w:r>
        <w:rPr/>
        <w:t>factor</w:t>
      </w:r>
      <w:r>
        <w:rPr>
          <w:spacing w:val="-15"/>
        </w:rPr>
        <w:t> </w:t>
      </w:r>
      <w:r>
        <w:rPr/>
        <w:t>determinante</w:t>
      </w:r>
      <w:r>
        <w:rPr>
          <w:spacing w:val="-15"/>
        </w:rPr>
        <w:t> </w:t>
      </w:r>
      <w:r>
        <w:rPr/>
        <w:t>en</w:t>
      </w:r>
      <w:r>
        <w:rPr>
          <w:spacing w:val="-15"/>
        </w:rPr>
        <w:t> </w:t>
      </w:r>
      <w:r>
        <w:rPr/>
        <w:t>la</w:t>
      </w:r>
      <w:r>
        <w:rPr>
          <w:spacing w:val="-15"/>
        </w:rPr>
        <w:t> </w:t>
      </w:r>
      <w:r>
        <w:rPr/>
        <w:t>percepción de estabilidad financiera de pequeñas empres concluyó que los índices del modelo son significativamente diferentes de cero, lo que respalda la hipótesis alternativa: el IGV tiene una influencia directa en la percepción económica. Este hallazgo coincide con investigaciones como las de Romero (2018), que encontró que las políticas tributarias impactan directamente en la economía de los sectores comerciales, afectando tanto su liquidez como su crecimiento.</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43" w:right="990" w:firstLine="719"/>
        <w:jc w:val="both"/>
      </w:pPr>
      <w:r>
        <w:rPr/>
        <w:t>En síntesis, los resultados de esta investigación permiten no solo describir la influencia del IGV sobre la opinión financiera de los vendedores, sino también explicar cómo este impuesto se convierte en un factor determinante en su percepción económica. A diferencia de estudios correlacionales que se limitan a medir relaciones entre variables, el enfoque</w:t>
      </w:r>
      <w:r>
        <w:rPr>
          <w:spacing w:val="-5"/>
        </w:rPr>
        <w:t> </w:t>
      </w:r>
      <w:r>
        <w:rPr/>
        <w:t>explicativo</w:t>
      </w:r>
      <w:r>
        <w:rPr>
          <w:spacing w:val="-3"/>
        </w:rPr>
        <w:t> </w:t>
      </w:r>
      <w:r>
        <w:rPr/>
        <w:t>de</w:t>
      </w:r>
      <w:r>
        <w:rPr>
          <w:spacing w:val="-4"/>
        </w:rPr>
        <w:t> </w:t>
      </w:r>
      <w:r>
        <w:rPr/>
        <w:t>este</w:t>
      </w:r>
      <w:r>
        <w:rPr>
          <w:spacing w:val="-4"/>
        </w:rPr>
        <w:t> </w:t>
      </w:r>
      <w:r>
        <w:rPr/>
        <w:t>trabajo</w:t>
      </w:r>
      <w:r>
        <w:rPr>
          <w:spacing w:val="-5"/>
        </w:rPr>
        <w:t> </w:t>
      </w:r>
      <w:r>
        <w:rPr/>
        <w:t>va</w:t>
      </w:r>
      <w:r>
        <w:rPr>
          <w:spacing w:val="-4"/>
        </w:rPr>
        <w:t> </w:t>
      </w:r>
      <w:r>
        <w:rPr/>
        <w:t>más</w:t>
      </w:r>
      <w:r>
        <w:rPr>
          <w:spacing w:val="-4"/>
        </w:rPr>
        <w:t> </w:t>
      </w:r>
      <w:r>
        <w:rPr/>
        <w:t>allá,</w:t>
      </w:r>
      <w:r>
        <w:rPr>
          <w:spacing w:val="-4"/>
        </w:rPr>
        <w:t> </w:t>
      </w:r>
      <w:r>
        <w:rPr/>
        <w:t>ofreciendo</w:t>
      </w:r>
      <w:r>
        <w:rPr>
          <w:spacing w:val="-4"/>
        </w:rPr>
        <w:t> </w:t>
      </w:r>
      <w:r>
        <w:rPr/>
        <w:t>una</w:t>
      </w:r>
      <w:r>
        <w:rPr>
          <w:spacing w:val="-4"/>
        </w:rPr>
        <w:t> </w:t>
      </w:r>
      <w:r>
        <w:rPr/>
        <w:t>interpretación</w:t>
      </w:r>
      <w:r>
        <w:rPr>
          <w:spacing w:val="-4"/>
        </w:rPr>
        <w:t> </w:t>
      </w:r>
      <w:r>
        <w:rPr/>
        <w:t>sobre</w:t>
      </w:r>
      <w:r>
        <w:rPr>
          <w:spacing w:val="-4"/>
        </w:rPr>
        <w:t> </w:t>
      </w:r>
      <w:r>
        <w:rPr/>
        <w:t>por</w:t>
      </w:r>
      <w:r>
        <w:rPr>
          <w:spacing w:val="-4"/>
        </w:rPr>
        <w:t> </w:t>
      </w:r>
      <w:r>
        <w:rPr/>
        <w:t>qué y</w:t>
      </w:r>
      <w:r>
        <w:rPr>
          <w:spacing w:val="-15"/>
        </w:rPr>
        <w:t> </w:t>
      </w:r>
      <w:r>
        <w:rPr/>
        <w:t>cómo</w:t>
      </w:r>
      <w:r>
        <w:rPr>
          <w:spacing w:val="-15"/>
        </w:rPr>
        <w:t> </w:t>
      </w:r>
      <w:r>
        <w:rPr/>
        <w:t>el</w:t>
      </w:r>
      <w:r>
        <w:rPr>
          <w:spacing w:val="-15"/>
        </w:rPr>
        <w:t> </w:t>
      </w:r>
      <w:r>
        <w:rPr/>
        <w:t>IGV</w:t>
      </w:r>
      <w:r>
        <w:rPr>
          <w:spacing w:val="-15"/>
        </w:rPr>
        <w:t> </w:t>
      </w:r>
      <w:r>
        <w:rPr/>
        <w:t>afecta</w:t>
      </w:r>
      <w:r>
        <w:rPr>
          <w:spacing w:val="-15"/>
        </w:rPr>
        <w:t> </w:t>
      </w:r>
      <w:r>
        <w:rPr/>
        <w:t>las</w:t>
      </w:r>
      <w:r>
        <w:rPr>
          <w:spacing w:val="-15"/>
        </w:rPr>
        <w:t> </w:t>
      </w:r>
      <w:r>
        <w:rPr/>
        <w:t>condiciones</w:t>
      </w:r>
      <w:r>
        <w:rPr>
          <w:spacing w:val="-15"/>
        </w:rPr>
        <w:t> </w:t>
      </w:r>
      <w:r>
        <w:rPr/>
        <w:t>económicas</w:t>
      </w:r>
      <w:r>
        <w:rPr>
          <w:spacing w:val="-15"/>
        </w:rPr>
        <w:t> </w:t>
      </w:r>
      <w:r>
        <w:rPr/>
        <w:t>percibidas</w:t>
      </w:r>
      <w:r>
        <w:rPr>
          <w:spacing w:val="-15"/>
        </w:rPr>
        <w:t> </w:t>
      </w:r>
      <w:r>
        <w:rPr/>
        <w:t>por</w:t>
      </w:r>
      <w:r>
        <w:rPr>
          <w:spacing w:val="-15"/>
        </w:rPr>
        <w:t> </w:t>
      </w:r>
      <w:r>
        <w:rPr/>
        <w:t>los</w:t>
      </w:r>
      <w:r>
        <w:rPr>
          <w:spacing w:val="-15"/>
        </w:rPr>
        <w:t> </w:t>
      </w:r>
      <w:r>
        <w:rPr/>
        <w:t>comerciantes,</w:t>
      </w:r>
      <w:r>
        <w:rPr>
          <w:spacing w:val="-15"/>
        </w:rPr>
        <w:t> </w:t>
      </w:r>
      <w:r>
        <w:rPr/>
        <w:t>validando la hipótesis de que el IGV tiene un impacto significativo en su percepción económica. Esto ayuda</w:t>
      </w:r>
      <w:r>
        <w:rPr>
          <w:spacing w:val="-8"/>
        </w:rPr>
        <w:t> </w:t>
      </w:r>
      <w:r>
        <w:rPr/>
        <w:t>a</w:t>
      </w:r>
      <w:r>
        <w:rPr>
          <w:spacing w:val="-5"/>
        </w:rPr>
        <w:t> </w:t>
      </w:r>
      <w:r>
        <w:rPr/>
        <w:t>una</w:t>
      </w:r>
      <w:r>
        <w:rPr>
          <w:spacing w:val="-7"/>
        </w:rPr>
        <w:t> </w:t>
      </w:r>
      <w:r>
        <w:rPr/>
        <w:t>mayor</w:t>
      </w:r>
      <w:r>
        <w:rPr>
          <w:spacing w:val="-7"/>
        </w:rPr>
        <w:t> </w:t>
      </w:r>
      <w:r>
        <w:rPr/>
        <w:t>comprensión</w:t>
      </w:r>
      <w:r>
        <w:rPr>
          <w:spacing w:val="-7"/>
        </w:rPr>
        <w:t> </w:t>
      </w:r>
      <w:r>
        <w:rPr/>
        <w:t>de</w:t>
      </w:r>
      <w:r>
        <w:rPr>
          <w:spacing w:val="-5"/>
        </w:rPr>
        <w:t> </w:t>
      </w:r>
      <w:r>
        <w:rPr/>
        <w:t>la</w:t>
      </w:r>
      <w:r>
        <w:rPr>
          <w:spacing w:val="-6"/>
        </w:rPr>
        <w:t> </w:t>
      </w:r>
      <w:r>
        <w:rPr/>
        <w:t>dinámica</w:t>
      </w:r>
      <w:r>
        <w:rPr>
          <w:spacing w:val="-5"/>
        </w:rPr>
        <w:t> </w:t>
      </w:r>
      <w:r>
        <w:rPr/>
        <w:t>fiscal-comercial</w:t>
      </w:r>
      <w:r>
        <w:rPr>
          <w:spacing w:val="-8"/>
        </w:rPr>
        <w:t> </w:t>
      </w:r>
      <w:r>
        <w:rPr/>
        <w:t>en</w:t>
      </w:r>
      <w:r>
        <w:rPr>
          <w:spacing w:val="-5"/>
        </w:rPr>
        <w:t> </w:t>
      </w:r>
      <w:r>
        <w:rPr/>
        <w:t>mercados</w:t>
      </w:r>
      <w:r>
        <w:rPr>
          <w:spacing w:val="-6"/>
        </w:rPr>
        <w:t> </w:t>
      </w:r>
      <w:r>
        <w:rPr/>
        <w:t>locales</w:t>
      </w:r>
      <w:r>
        <w:rPr>
          <w:spacing w:val="-6"/>
        </w:rPr>
        <w:t> </w:t>
      </w:r>
      <w:r>
        <w:rPr/>
        <w:t>y</w:t>
      </w:r>
      <w:r>
        <w:rPr>
          <w:spacing w:val="-7"/>
        </w:rPr>
        <w:t> </w:t>
      </w:r>
      <w:r>
        <w:rPr/>
        <w:t>abre la posibilidad de ajustar las políticas tributarias para mitigar efectos negativos en sectores </w:t>
      </w:r>
      <w:r>
        <w:rPr>
          <w:spacing w:val="-2"/>
        </w:rPr>
        <w:t>vulnerables.</w:t>
      </w:r>
    </w:p>
    <w:p>
      <w:pPr>
        <w:pStyle w:val="BodyText"/>
        <w:spacing w:line="480" w:lineRule="auto" w:before="2"/>
        <w:ind w:left="143" w:right="989" w:firstLine="719"/>
        <w:jc w:val="both"/>
      </w:pPr>
      <w:r>
        <w:rPr/>
        <w:t>La discusión de los resultados obtenidos para el primer objetivo específico, que fue "Establecer el impacto de la estabilidad económica en la percepción económica de los vendedores del centro de abastos de la ciudad de Juliaca", refleja una influencia clara entre las variables. El modelo aplicado muestra un R² de 0.375, lo que indica que la estabilidad económica (X1) explica el 37.5% del comportamiento de la opinión financiera de los vendedores de dicho centro. Esto señala que la estabilidad económica no solo se relaciona con</w:t>
      </w:r>
      <w:r>
        <w:rPr>
          <w:spacing w:val="-7"/>
        </w:rPr>
        <w:t> </w:t>
      </w:r>
      <w:r>
        <w:rPr/>
        <w:t>la</w:t>
      </w:r>
      <w:r>
        <w:rPr>
          <w:spacing w:val="-8"/>
        </w:rPr>
        <w:t> </w:t>
      </w:r>
      <w:r>
        <w:rPr/>
        <w:t>percepción</w:t>
      </w:r>
      <w:r>
        <w:rPr>
          <w:spacing w:val="-7"/>
        </w:rPr>
        <w:t> </w:t>
      </w:r>
      <w:r>
        <w:rPr/>
        <w:t>económica,</w:t>
      </w:r>
      <w:r>
        <w:rPr>
          <w:spacing w:val="-7"/>
        </w:rPr>
        <w:t> </w:t>
      </w:r>
      <w:r>
        <w:rPr/>
        <w:t>sino</w:t>
      </w:r>
      <w:r>
        <w:rPr>
          <w:spacing w:val="-7"/>
        </w:rPr>
        <w:t> </w:t>
      </w:r>
      <w:r>
        <w:rPr/>
        <w:t>que</w:t>
      </w:r>
      <w:r>
        <w:rPr>
          <w:spacing w:val="-7"/>
        </w:rPr>
        <w:t> </w:t>
      </w:r>
      <w:r>
        <w:rPr/>
        <w:t>es</w:t>
      </w:r>
      <w:r>
        <w:rPr>
          <w:spacing w:val="-6"/>
        </w:rPr>
        <w:t> </w:t>
      </w:r>
      <w:r>
        <w:rPr/>
        <w:t>un</w:t>
      </w:r>
      <w:r>
        <w:rPr>
          <w:spacing w:val="-7"/>
        </w:rPr>
        <w:t> </w:t>
      </w:r>
      <w:r>
        <w:rPr/>
        <w:t>factor</w:t>
      </w:r>
      <w:r>
        <w:rPr>
          <w:spacing w:val="-6"/>
        </w:rPr>
        <w:t> </w:t>
      </w:r>
      <w:r>
        <w:rPr/>
        <w:t>clave</w:t>
      </w:r>
      <w:r>
        <w:rPr>
          <w:spacing w:val="-8"/>
        </w:rPr>
        <w:t> </w:t>
      </w:r>
      <w:r>
        <w:rPr/>
        <w:t>para</w:t>
      </w:r>
      <w:r>
        <w:rPr>
          <w:spacing w:val="-7"/>
        </w:rPr>
        <w:t> </w:t>
      </w:r>
      <w:r>
        <w:rPr/>
        <w:t>entender</w:t>
      </w:r>
      <w:r>
        <w:rPr>
          <w:spacing w:val="-6"/>
        </w:rPr>
        <w:t> </w:t>
      </w:r>
      <w:r>
        <w:rPr/>
        <w:t>dicha</w:t>
      </w:r>
      <w:r>
        <w:rPr>
          <w:spacing w:val="-7"/>
        </w:rPr>
        <w:t> </w:t>
      </w:r>
      <w:r>
        <w:rPr/>
        <w:t>percepción.</w:t>
      </w:r>
      <w:r>
        <w:rPr>
          <w:spacing w:val="-7"/>
        </w:rPr>
        <w:t> </w:t>
      </w:r>
      <w:r>
        <w:rPr/>
        <w:t>El análisis de varianza (ANOVA), con una significancia de 0.00, confirma la validez del modelo con un margen de error del 5%, lo que respalda la relevancia explicativa de la variable independiente en este contexto. Asimismo, el test t de Student demuestra que los coeficientes para la constante y la estabilidad económica son relevantemente diferentes de cero,</w:t>
      </w:r>
      <w:r>
        <w:rPr>
          <w:spacing w:val="-15"/>
        </w:rPr>
        <w:t> </w:t>
      </w:r>
      <w:r>
        <w:rPr/>
        <w:t>lo</w:t>
      </w:r>
      <w:r>
        <w:rPr>
          <w:spacing w:val="-15"/>
        </w:rPr>
        <w:t> </w:t>
      </w:r>
      <w:r>
        <w:rPr/>
        <w:t>que</w:t>
      </w:r>
      <w:r>
        <w:rPr>
          <w:spacing w:val="-15"/>
        </w:rPr>
        <w:t> </w:t>
      </w:r>
      <w:r>
        <w:rPr/>
        <w:t>indica</w:t>
      </w:r>
      <w:r>
        <w:rPr>
          <w:spacing w:val="-15"/>
        </w:rPr>
        <w:t> </w:t>
      </w:r>
      <w:r>
        <w:rPr/>
        <w:t>que</w:t>
      </w:r>
      <w:r>
        <w:rPr>
          <w:spacing w:val="-15"/>
        </w:rPr>
        <w:t> </w:t>
      </w:r>
      <w:r>
        <w:rPr/>
        <w:t>la</w:t>
      </w:r>
      <w:r>
        <w:rPr>
          <w:spacing w:val="-15"/>
        </w:rPr>
        <w:t> </w:t>
      </w:r>
      <w:r>
        <w:rPr/>
        <w:t>estabilidad</w:t>
      </w:r>
      <w:r>
        <w:rPr>
          <w:spacing w:val="-15"/>
        </w:rPr>
        <w:t> </w:t>
      </w:r>
      <w:r>
        <w:rPr/>
        <w:t>económica</w:t>
      </w:r>
      <w:r>
        <w:rPr>
          <w:spacing w:val="-15"/>
        </w:rPr>
        <w:t> </w:t>
      </w:r>
      <w:r>
        <w:rPr/>
        <w:t>ejerce</w:t>
      </w:r>
      <w:r>
        <w:rPr>
          <w:spacing w:val="-15"/>
        </w:rPr>
        <w:t> </w:t>
      </w:r>
      <w:r>
        <w:rPr/>
        <w:t>una</w:t>
      </w:r>
      <w:r>
        <w:rPr>
          <w:spacing w:val="-15"/>
        </w:rPr>
        <w:t> </w:t>
      </w:r>
      <w:r>
        <w:rPr/>
        <w:t>influencia</w:t>
      </w:r>
      <w:r>
        <w:rPr>
          <w:spacing w:val="-15"/>
        </w:rPr>
        <w:t> </w:t>
      </w:r>
      <w:r>
        <w:rPr/>
        <w:t>directa</w:t>
      </w:r>
      <w:r>
        <w:rPr>
          <w:spacing w:val="-15"/>
        </w:rPr>
        <w:t> </w:t>
      </w:r>
      <w:r>
        <w:rPr/>
        <w:t>y</w:t>
      </w:r>
      <w:r>
        <w:rPr>
          <w:spacing w:val="-15"/>
        </w:rPr>
        <w:t> </w:t>
      </w:r>
      <w:r>
        <w:rPr/>
        <w:t>positiva</w:t>
      </w:r>
      <w:r>
        <w:rPr>
          <w:spacing w:val="-15"/>
        </w:rPr>
        <w:t> </w:t>
      </w:r>
      <w:r>
        <w:rPr/>
        <w:t>sobre la</w:t>
      </w:r>
      <w:r>
        <w:rPr>
          <w:spacing w:val="-14"/>
        </w:rPr>
        <w:t> </w:t>
      </w:r>
      <w:r>
        <w:rPr/>
        <w:t>percepción</w:t>
      </w:r>
      <w:r>
        <w:rPr>
          <w:spacing w:val="-11"/>
        </w:rPr>
        <w:t> </w:t>
      </w:r>
      <w:r>
        <w:rPr/>
        <w:t>económica.</w:t>
      </w:r>
      <w:r>
        <w:rPr>
          <w:spacing w:val="-11"/>
        </w:rPr>
        <w:t> </w:t>
      </w:r>
      <w:r>
        <w:rPr/>
        <w:t>al</w:t>
      </w:r>
      <w:r>
        <w:rPr>
          <w:spacing w:val="-14"/>
        </w:rPr>
        <w:t> </w:t>
      </w:r>
      <w:r>
        <w:rPr/>
        <w:t>descartar</w:t>
      </w:r>
      <w:r>
        <w:rPr>
          <w:spacing w:val="-11"/>
        </w:rPr>
        <w:t> </w:t>
      </w:r>
      <w:r>
        <w:rPr/>
        <w:t>la</w:t>
      </w:r>
      <w:r>
        <w:rPr>
          <w:spacing w:val="-10"/>
        </w:rPr>
        <w:t> </w:t>
      </w:r>
      <w:r>
        <w:rPr/>
        <w:t>hipótesis</w:t>
      </w:r>
      <w:r>
        <w:rPr>
          <w:spacing w:val="-13"/>
        </w:rPr>
        <w:t> </w:t>
      </w:r>
      <w:r>
        <w:rPr/>
        <w:t>nula</w:t>
      </w:r>
      <w:r>
        <w:rPr>
          <w:spacing w:val="-13"/>
        </w:rPr>
        <w:t> </w:t>
      </w:r>
      <w:r>
        <w:rPr/>
        <w:t>y</w:t>
      </w:r>
      <w:r>
        <w:rPr>
          <w:spacing w:val="-13"/>
        </w:rPr>
        <w:t> </w:t>
      </w:r>
      <w:r>
        <w:rPr/>
        <w:t>hacer</w:t>
      </w:r>
      <w:r>
        <w:rPr>
          <w:spacing w:val="-12"/>
        </w:rPr>
        <w:t> </w:t>
      </w:r>
      <w:r>
        <w:rPr/>
        <w:t>válida</w:t>
      </w:r>
      <w:r>
        <w:rPr>
          <w:spacing w:val="-11"/>
        </w:rPr>
        <w:t> </w:t>
      </w:r>
      <w:r>
        <w:rPr/>
        <w:t>la</w:t>
      </w:r>
      <w:r>
        <w:rPr>
          <w:spacing w:val="-12"/>
        </w:rPr>
        <w:t> </w:t>
      </w:r>
      <w:r>
        <w:rPr/>
        <w:t>hipótesis</w:t>
      </w:r>
      <w:r>
        <w:rPr>
          <w:spacing w:val="-13"/>
        </w:rPr>
        <w:t> </w:t>
      </w:r>
      <w:r>
        <w:rPr/>
        <w:t>alternativa, se</w:t>
      </w:r>
      <w:r>
        <w:rPr>
          <w:spacing w:val="-11"/>
        </w:rPr>
        <w:t> </w:t>
      </w:r>
      <w:r>
        <w:rPr/>
        <w:t>determina</w:t>
      </w:r>
      <w:r>
        <w:rPr>
          <w:spacing w:val="-12"/>
        </w:rPr>
        <w:t> </w:t>
      </w:r>
      <w:r>
        <w:rPr/>
        <w:t>que</w:t>
      </w:r>
      <w:r>
        <w:rPr>
          <w:spacing w:val="-10"/>
        </w:rPr>
        <w:t> </w:t>
      </w:r>
      <w:r>
        <w:rPr/>
        <w:t>la</w:t>
      </w:r>
      <w:r>
        <w:rPr>
          <w:spacing w:val="-13"/>
        </w:rPr>
        <w:t> </w:t>
      </w:r>
      <w:r>
        <w:rPr/>
        <w:t>estabilidad</w:t>
      </w:r>
      <w:r>
        <w:rPr>
          <w:spacing w:val="-12"/>
        </w:rPr>
        <w:t> </w:t>
      </w:r>
      <w:r>
        <w:rPr/>
        <w:t>económica</w:t>
      </w:r>
      <w:r>
        <w:rPr>
          <w:spacing w:val="-10"/>
        </w:rPr>
        <w:t> </w:t>
      </w:r>
      <w:r>
        <w:rPr/>
        <w:t>tiene</w:t>
      </w:r>
      <w:r>
        <w:rPr>
          <w:spacing w:val="-13"/>
        </w:rPr>
        <w:t> </w:t>
      </w:r>
      <w:r>
        <w:rPr/>
        <w:t>una</w:t>
      </w:r>
      <w:r>
        <w:rPr>
          <w:spacing w:val="-12"/>
        </w:rPr>
        <w:t> </w:t>
      </w:r>
      <w:r>
        <w:rPr/>
        <w:t>influencia</w:t>
      </w:r>
      <w:r>
        <w:rPr>
          <w:spacing w:val="-11"/>
        </w:rPr>
        <w:t> </w:t>
      </w:r>
      <w:r>
        <w:rPr/>
        <w:t>significativa</w:t>
      </w:r>
      <w:r>
        <w:rPr>
          <w:spacing w:val="-12"/>
        </w:rPr>
        <w:t> </w:t>
      </w:r>
      <w:r>
        <w:rPr/>
        <w:t>en</w:t>
      </w:r>
      <w:r>
        <w:rPr>
          <w:spacing w:val="-12"/>
        </w:rPr>
        <w:t> </w:t>
      </w:r>
      <w:r>
        <w:rPr/>
        <w:t>la</w:t>
      </w:r>
      <w:r>
        <w:rPr>
          <w:spacing w:val="-13"/>
        </w:rPr>
        <w:t> </w:t>
      </w:r>
      <w:r>
        <w:rPr/>
        <w:t>percepción económica</w:t>
      </w:r>
      <w:r>
        <w:rPr>
          <w:spacing w:val="-2"/>
        </w:rPr>
        <w:t> </w:t>
      </w:r>
      <w:r>
        <w:rPr/>
        <w:t>de</w:t>
      </w:r>
      <w:r>
        <w:rPr>
          <w:spacing w:val="-1"/>
        </w:rPr>
        <w:t> </w:t>
      </w:r>
      <w:r>
        <w:rPr/>
        <w:t>los</w:t>
      </w:r>
      <w:r>
        <w:rPr>
          <w:spacing w:val="-1"/>
        </w:rPr>
        <w:t> </w:t>
      </w:r>
      <w:r>
        <w:rPr/>
        <w:t>comerciantes.</w:t>
      </w:r>
      <w:r>
        <w:rPr>
          <w:spacing w:val="-1"/>
        </w:rPr>
        <w:t> </w:t>
      </w:r>
      <w:r>
        <w:rPr/>
        <w:t>Estos</w:t>
      </w:r>
      <w:r>
        <w:rPr>
          <w:spacing w:val="-2"/>
        </w:rPr>
        <w:t> </w:t>
      </w:r>
      <w:r>
        <w:rPr/>
        <w:t>hallazgos</w:t>
      </w:r>
      <w:r>
        <w:rPr>
          <w:spacing w:val="-1"/>
        </w:rPr>
        <w:t> </w:t>
      </w:r>
      <w:r>
        <w:rPr/>
        <w:t>coinciden con</w:t>
      </w:r>
      <w:r>
        <w:rPr>
          <w:spacing w:val="-1"/>
        </w:rPr>
        <w:t> </w:t>
      </w:r>
      <w:r>
        <w:rPr/>
        <w:t>estudios</w:t>
      </w:r>
      <w:r>
        <w:rPr>
          <w:spacing w:val="-1"/>
        </w:rPr>
        <w:t> </w:t>
      </w:r>
      <w:r>
        <w:rPr/>
        <w:t>previos,</w:t>
      </w:r>
      <w:r>
        <w:rPr>
          <w:spacing w:val="-1"/>
        </w:rPr>
        <w:t> </w:t>
      </w:r>
      <w:r>
        <w:rPr/>
        <w:t>como</w:t>
      </w:r>
      <w:r>
        <w:rPr>
          <w:spacing w:val="-1"/>
        </w:rPr>
        <w:t> </w:t>
      </w:r>
      <w:r>
        <w:rPr/>
        <w:t>el</w:t>
      </w:r>
      <w:r>
        <w:rPr>
          <w:spacing w:val="-3"/>
        </w:rPr>
        <w:t> </w:t>
      </w:r>
      <w:r>
        <w:rPr>
          <w:spacing w:val="-5"/>
        </w:rPr>
        <w:t>de</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43" w:right="987"/>
        <w:jc w:val="both"/>
      </w:pPr>
      <w:r>
        <w:rPr/>
        <w:t>García (2021), que establece que la estabilidad económica genera mayor confianza en los comerciantes,</w:t>
      </w:r>
      <w:r>
        <w:rPr>
          <w:spacing w:val="-2"/>
        </w:rPr>
        <w:t> </w:t>
      </w:r>
      <w:r>
        <w:rPr/>
        <w:t>mejorando</w:t>
      </w:r>
      <w:r>
        <w:rPr>
          <w:spacing w:val="-3"/>
        </w:rPr>
        <w:t> </w:t>
      </w:r>
      <w:r>
        <w:rPr/>
        <w:t>su</w:t>
      </w:r>
      <w:r>
        <w:rPr>
          <w:spacing w:val="-3"/>
        </w:rPr>
        <w:t> </w:t>
      </w:r>
      <w:r>
        <w:rPr/>
        <w:t>percepción</w:t>
      </w:r>
      <w:r>
        <w:rPr>
          <w:spacing w:val="-2"/>
        </w:rPr>
        <w:t> </w:t>
      </w:r>
      <w:r>
        <w:rPr/>
        <w:t>del</w:t>
      </w:r>
      <w:r>
        <w:rPr>
          <w:spacing w:val="-5"/>
        </w:rPr>
        <w:t> </w:t>
      </w:r>
      <w:r>
        <w:rPr/>
        <w:t>entorno</w:t>
      </w:r>
      <w:r>
        <w:rPr>
          <w:spacing w:val="-3"/>
        </w:rPr>
        <w:t> </w:t>
      </w:r>
      <w:r>
        <w:rPr/>
        <w:t>financiero.</w:t>
      </w:r>
      <w:r>
        <w:rPr>
          <w:spacing w:val="-3"/>
        </w:rPr>
        <w:t> </w:t>
      </w:r>
      <w:r>
        <w:rPr/>
        <w:t>Del</w:t>
      </w:r>
      <w:r>
        <w:rPr>
          <w:spacing w:val="-2"/>
        </w:rPr>
        <w:t> </w:t>
      </w:r>
      <w:r>
        <w:rPr/>
        <w:t>mismo</w:t>
      </w:r>
      <w:r>
        <w:rPr>
          <w:spacing w:val="-2"/>
        </w:rPr>
        <w:t> </w:t>
      </w:r>
      <w:r>
        <w:rPr/>
        <w:t>modo,</w:t>
      </w:r>
      <w:r>
        <w:rPr>
          <w:spacing w:val="-2"/>
        </w:rPr>
        <w:t> </w:t>
      </w:r>
      <w:r>
        <w:rPr/>
        <w:t>Mendoza (2020) sostiene que una estabilidad económica prolongada fomenta una percepción más optimista</w:t>
      </w:r>
      <w:r>
        <w:rPr>
          <w:spacing w:val="-9"/>
        </w:rPr>
        <w:t> </w:t>
      </w:r>
      <w:r>
        <w:rPr/>
        <w:t>del</w:t>
      </w:r>
      <w:r>
        <w:rPr>
          <w:spacing w:val="-9"/>
        </w:rPr>
        <w:t> </w:t>
      </w:r>
      <w:r>
        <w:rPr/>
        <w:t>contexto</w:t>
      </w:r>
      <w:r>
        <w:rPr>
          <w:spacing w:val="-8"/>
        </w:rPr>
        <w:t> </w:t>
      </w:r>
      <w:r>
        <w:rPr/>
        <w:t>económico,</w:t>
      </w:r>
      <w:r>
        <w:rPr>
          <w:spacing w:val="-9"/>
        </w:rPr>
        <w:t> </w:t>
      </w:r>
      <w:r>
        <w:rPr/>
        <w:t>lo</w:t>
      </w:r>
      <w:r>
        <w:rPr>
          <w:spacing w:val="-8"/>
        </w:rPr>
        <w:t> </w:t>
      </w:r>
      <w:r>
        <w:rPr/>
        <w:t>cual</w:t>
      </w:r>
      <w:r>
        <w:rPr>
          <w:spacing w:val="-6"/>
        </w:rPr>
        <w:t> </w:t>
      </w:r>
      <w:r>
        <w:rPr/>
        <w:t>se</w:t>
      </w:r>
      <w:r>
        <w:rPr>
          <w:spacing w:val="-8"/>
        </w:rPr>
        <w:t> </w:t>
      </w:r>
      <w:r>
        <w:rPr/>
        <w:t>alinea</w:t>
      </w:r>
      <w:r>
        <w:rPr>
          <w:spacing w:val="-9"/>
        </w:rPr>
        <w:t> </w:t>
      </w:r>
      <w:r>
        <w:rPr/>
        <w:t>con</w:t>
      </w:r>
      <w:r>
        <w:rPr>
          <w:spacing w:val="-7"/>
        </w:rPr>
        <w:t> </w:t>
      </w:r>
      <w:r>
        <w:rPr/>
        <w:t>los</w:t>
      </w:r>
      <w:r>
        <w:rPr>
          <w:spacing w:val="-8"/>
        </w:rPr>
        <w:t> </w:t>
      </w:r>
      <w:r>
        <w:rPr/>
        <w:t>resultados</w:t>
      </w:r>
      <w:r>
        <w:rPr>
          <w:spacing w:val="-8"/>
        </w:rPr>
        <w:t> </w:t>
      </w:r>
      <w:r>
        <w:rPr/>
        <w:t>de</w:t>
      </w:r>
      <w:r>
        <w:rPr>
          <w:spacing w:val="-7"/>
        </w:rPr>
        <w:t> </w:t>
      </w:r>
      <w:r>
        <w:rPr/>
        <w:t>este</w:t>
      </w:r>
      <w:r>
        <w:rPr>
          <w:spacing w:val="-9"/>
        </w:rPr>
        <w:t> </w:t>
      </w:r>
      <w:r>
        <w:rPr/>
        <w:t>estudio,</w:t>
      </w:r>
      <w:r>
        <w:rPr>
          <w:spacing w:val="-8"/>
        </w:rPr>
        <w:t> </w:t>
      </w:r>
      <w:r>
        <w:rPr/>
        <w:t>donde los</w:t>
      </w:r>
      <w:r>
        <w:rPr>
          <w:spacing w:val="-11"/>
        </w:rPr>
        <w:t> </w:t>
      </w:r>
      <w:r>
        <w:rPr/>
        <w:t>comerciantes</w:t>
      </w:r>
      <w:r>
        <w:rPr>
          <w:spacing w:val="-11"/>
        </w:rPr>
        <w:t> </w:t>
      </w:r>
      <w:r>
        <w:rPr/>
        <w:t>del</w:t>
      </w:r>
      <w:r>
        <w:rPr>
          <w:spacing w:val="-11"/>
        </w:rPr>
        <w:t> </w:t>
      </w:r>
      <w:r>
        <w:rPr/>
        <w:t>centro</w:t>
      </w:r>
      <w:r>
        <w:rPr>
          <w:spacing w:val="-11"/>
        </w:rPr>
        <w:t> </w:t>
      </w:r>
      <w:r>
        <w:rPr/>
        <w:t>de</w:t>
      </w:r>
      <w:r>
        <w:rPr>
          <w:spacing w:val="-10"/>
        </w:rPr>
        <w:t> </w:t>
      </w:r>
      <w:r>
        <w:rPr/>
        <w:t>abastos</w:t>
      </w:r>
      <w:r>
        <w:rPr>
          <w:spacing w:val="-9"/>
        </w:rPr>
        <w:t> </w:t>
      </w:r>
      <w:r>
        <w:rPr/>
        <w:t>Las</w:t>
      </w:r>
      <w:r>
        <w:rPr>
          <w:spacing w:val="-11"/>
        </w:rPr>
        <w:t> </w:t>
      </w:r>
      <w:r>
        <w:rPr/>
        <w:t>Mercedes</w:t>
      </w:r>
      <w:r>
        <w:rPr>
          <w:spacing w:val="-11"/>
        </w:rPr>
        <w:t> </w:t>
      </w:r>
      <w:r>
        <w:rPr/>
        <w:t>manifiestan</w:t>
      </w:r>
      <w:r>
        <w:rPr>
          <w:spacing w:val="-11"/>
        </w:rPr>
        <w:t> </w:t>
      </w:r>
      <w:r>
        <w:rPr/>
        <w:t>una</w:t>
      </w:r>
      <w:r>
        <w:rPr>
          <w:spacing w:val="-12"/>
        </w:rPr>
        <w:t> </w:t>
      </w:r>
      <w:r>
        <w:rPr/>
        <w:t>percepción</w:t>
      </w:r>
      <w:r>
        <w:rPr>
          <w:spacing w:val="-9"/>
        </w:rPr>
        <w:t> </w:t>
      </w:r>
      <w:r>
        <w:rPr/>
        <w:t>económica positiva en condiciones de estabilidad económica.</w:t>
      </w:r>
    </w:p>
    <w:p>
      <w:pPr>
        <w:pStyle w:val="BodyText"/>
        <w:spacing w:line="480" w:lineRule="auto" w:before="1"/>
        <w:ind w:left="143" w:right="990" w:firstLine="719"/>
        <w:jc w:val="both"/>
      </w:pPr>
      <w:r>
        <w:rPr/>
        <w:t>La discusión de los resultados obtenidos para el segundo objetivo específico, "Determinar la influencia de la liquidez económica en la percepción económica de los comerciantes del centro de abastos Las Mercedes de Juliaca," evidencia una influencia explicativa significativa entre las variables. El modelo aplicado muestra un índice de determinación (R²) de 0.408, lo que revela que la liquidez económica (X1) que indica el 40.8% de la variabilidad en la percepción económica de los comerciantes. Este hallazgo sugiere que la liquidez económica no solo se asocia con la percepción económica, sino que constituye</w:t>
      </w:r>
      <w:r>
        <w:rPr>
          <w:spacing w:val="-10"/>
        </w:rPr>
        <w:t> </w:t>
      </w:r>
      <w:r>
        <w:rPr/>
        <w:t>un</w:t>
      </w:r>
      <w:r>
        <w:rPr>
          <w:spacing w:val="-9"/>
        </w:rPr>
        <w:t> </w:t>
      </w:r>
      <w:r>
        <w:rPr/>
        <w:t>factor</w:t>
      </w:r>
      <w:r>
        <w:rPr>
          <w:spacing w:val="-9"/>
        </w:rPr>
        <w:t> </w:t>
      </w:r>
      <w:r>
        <w:rPr/>
        <w:t>relevante</w:t>
      </w:r>
      <w:r>
        <w:rPr>
          <w:spacing w:val="-10"/>
        </w:rPr>
        <w:t> </w:t>
      </w:r>
      <w:r>
        <w:rPr/>
        <w:t>para</w:t>
      </w:r>
      <w:r>
        <w:rPr>
          <w:spacing w:val="-9"/>
        </w:rPr>
        <w:t> </w:t>
      </w:r>
      <w:r>
        <w:rPr/>
        <w:t>entender</w:t>
      </w:r>
      <w:r>
        <w:rPr>
          <w:spacing w:val="-10"/>
        </w:rPr>
        <w:t> </w:t>
      </w:r>
      <w:r>
        <w:rPr/>
        <w:t>el</w:t>
      </w:r>
      <w:r>
        <w:rPr>
          <w:spacing w:val="-10"/>
        </w:rPr>
        <w:t> </w:t>
      </w:r>
      <w:r>
        <w:rPr/>
        <w:t>comportamiento</w:t>
      </w:r>
      <w:r>
        <w:rPr>
          <w:spacing w:val="-8"/>
        </w:rPr>
        <w:t> </w:t>
      </w:r>
      <w:r>
        <w:rPr/>
        <w:t>económico</w:t>
      </w:r>
      <w:r>
        <w:rPr>
          <w:spacing w:val="-10"/>
        </w:rPr>
        <w:t> </w:t>
      </w:r>
      <w:r>
        <w:rPr/>
        <w:t>de</w:t>
      </w:r>
      <w:r>
        <w:rPr>
          <w:spacing w:val="-10"/>
        </w:rPr>
        <w:t> </w:t>
      </w:r>
      <w:r>
        <w:rPr/>
        <w:t>este</w:t>
      </w:r>
      <w:r>
        <w:rPr>
          <w:spacing w:val="-10"/>
        </w:rPr>
        <w:t> </w:t>
      </w:r>
      <w:r>
        <w:rPr/>
        <w:t>grupo.</w:t>
      </w:r>
      <w:r>
        <w:rPr>
          <w:spacing w:val="-9"/>
        </w:rPr>
        <w:t> </w:t>
      </w:r>
      <w:r>
        <w:rPr/>
        <w:t>El estudio de la varianza (ANOVA) revela una significancia de 0.000, confirmando la validez del modelo con un margen de error del 5%, lo que refuerza la importancia de la liquidez económica como un predictor en este contexto. Adicionalmente, el test t de Student indica que</w:t>
      </w:r>
      <w:r>
        <w:rPr>
          <w:spacing w:val="-10"/>
        </w:rPr>
        <w:t> </w:t>
      </w:r>
      <w:r>
        <w:rPr/>
        <w:t>los</w:t>
      </w:r>
      <w:r>
        <w:rPr>
          <w:spacing w:val="-9"/>
        </w:rPr>
        <w:t> </w:t>
      </w:r>
      <w:r>
        <w:rPr/>
        <w:t>índices</w:t>
      </w:r>
      <w:r>
        <w:rPr>
          <w:spacing w:val="-9"/>
        </w:rPr>
        <w:t> </w:t>
      </w:r>
      <w:r>
        <w:rPr/>
        <w:t>de</w:t>
      </w:r>
      <w:r>
        <w:rPr>
          <w:spacing w:val="-10"/>
        </w:rPr>
        <w:t> </w:t>
      </w:r>
      <w:r>
        <w:rPr/>
        <w:t>la</w:t>
      </w:r>
      <w:r>
        <w:rPr>
          <w:spacing w:val="-10"/>
        </w:rPr>
        <w:t> </w:t>
      </w:r>
      <w:r>
        <w:rPr/>
        <w:t>constante</w:t>
      </w:r>
      <w:r>
        <w:rPr>
          <w:spacing w:val="-10"/>
        </w:rPr>
        <w:t> </w:t>
      </w:r>
      <w:r>
        <w:rPr/>
        <w:t>y</w:t>
      </w:r>
      <w:r>
        <w:rPr>
          <w:spacing w:val="-9"/>
        </w:rPr>
        <w:t> </w:t>
      </w:r>
      <w:r>
        <w:rPr/>
        <w:t>la</w:t>
      </w:r>
      <w:r>
        <w:rPr>
          <w:spacing w:val="-11"/>
        </w:rPr>
        <w:t> </w:t>
      </w:r>
      <w:r>
        <w:rPr/>
        <w:t>liquidez</w:t>
      </w:r>
      <w:r>
        <w:rPr>
          <w:spacing w:val="-10"/>
        </w:rPr>
        <w:t> </w:t>
      </w:r>
      <w:r>
        <w:rPr/>
        <w:t>económica</w:t>
      </w:r>
      <w:r>
        <w:rPr>
          <w:spacing w:val="-10"/>
        </w:rPr>
        <w:t> </w:t>
      </w:r>
      <w:r>
        <w:rPr/>
        <w:t>difieren</w:t>
      </w:r>
      <w:r>
        <w:rPr>
          <w:spacing w:val="-8"/>
        </w:rPr>
        <w:t> </w:t>
      </w:r>
      <w:r>
        <w:rPr/>
        <w:t>notablemente</w:t>
      </w:r>
      <w:r>
        <w:rPr>
          <w:spacing w:val="-11"/>
        </w:rPr>
        <w:t> </w:t>
      </w:r>
      <w:r>
        <w:rPr/>
        <w:t>de</w:t>
      </w:r>
      <w:r>
        <w:rPr>
          <w:spacing w:val="-10"/>
        </w:rPr>
        <w:t> </w:t>
      </w:r>
      <w:r>
        <w:rPr/>
        <w:t>cero,</w:t>
      </w:r>
      <w:r>
        <w:rPr>
          <w:spacing w:val="-9"/>
        </w:rPr>
        <w:t> </w:t>
      </w:r>
      <w:r>
        <w:rPr/>
        <w:t>lo</w:t>
      </w:r>
      <w:r>
        <w:rPr>
          <w:spacing w:val="-10"/>
        </w:rPr>
        <w:t> </w:t>
      </w:r>
      <w:r>
        <w:rPr/>
        <w:t>que sugiere que el modelo es aplicable y confiable para los comerciantes del centro de abastos Las Mercedes. Rechazando la hipótesis nula y aceptando la hipótesis alternativa, se determina que la liquidez económica impacta relevantemente y positivamente en la percepción económica de los comerciantes. Estos resultados son coherentes con investigaciones anteriores, como la de Ramírez (2022), que establece que la liquidez económica</w:t>
      </w:r>
      <w:r>
        <w:rPr>
          <w:spacing w:val="-2"/>
        </w:rPr>
        <w:t> </w:t>
      </w:r>
      <w:r>
        <w:rPr/>
        <w:t>se asocia directamente</w:t>
      </w:r>
      <w:r>
        <w:rPr>
          <w:spacing w:val="-2"/>
        </w:rPr>
        <w:t> </w:t>
      </w:r>
      <w:r>
        <w:rPr/>
        <w:t>con</w:t>
      </w:r>
      <w:r>
        <w:rPr>
          <w:spacing w:val="-1"/>
        </w:rPr>
        <w:t> </w:t>
      </w:r>
      <w:r>
        <w:rPr/>
        <w:t>la confianza</w:t>
      </w:r>
      <w:r>
        <w:rPr>
          <w:spacing w:val="-1"/>
        </w:rPr>
        <w:t> </w:t>
      </w:r>
      <w:r>
        <w:rPr/>
        <w:t>y la</w:t>
      </w:r>
      <w:r>
        <w:rPr>
          <w:spacing w:val="-1"/>
        </w:rPr>
        <w:t> </w:t>
      </w:r>
      <w:r>
        <w:rPr/>
        <w:t>capacidad</w:t>
      </w:r>
      <w:r>
        <w:rPr>
          <w:spacing w:val="-2"/>
        </w:rPr>
        <w:t> </w:t>
      </w:r>
      <w:r>
        <w:rPr/>
        <w:t>de los</w:t>
      </w:r>
      <w:r>
        <w:rPr>
          <w:spacing w:val="-1"/>
        </w:rPr>
        <w:t> </w:t>
      </w:r>
      <w:r>
        <w:rPr/>
        <w:t>comerciantes</w:t>
      </w:r>
      <w:r>
        <w:rPr>
          <w:spacing w:val="-1"/>
        </w:rPr>
        <w:t> </w:t>
      </w:r>
      <w:r>
        <w:rPr/>
        <w:t>para tomar</w:t>
      </w:r>
      <w:r>
        <w:rPr>
          <w:spacing w:val="-10"/>
        </w:rPr>
        <w:t> </w:t>
      </w:r>
      <w:r>
        <w:rPr/>
        <w:t>decisiones</w:t>
      </w:r>
      <w:r>
        <w:rPr>
          <w:spacing w:val="-7"/>
        </w:rPr>
        <w:t> </w:t>
      </w:r>
      <w:r>
        <w:rPr/>
        <w:t>informadas</w:t>
      </w:r>
      <w:r>
        <w:rPr>
          <w:spacing w:val="-7"/>
        </w:rPr>
        <w:t> </w:t>
      </w:r>
      <w:r>
        <w:rPr/>
        <w:t>en</w:t>
      </w:r>
      <w:r>
        <w:rPr>
          <w:spacing w:val="-8"/>
        </w:rPr>
        <w:t> </w:t>
      </w:r>
      <w:r>
        <w:rPr/>
        <w:t>sus</w:t>
      </w:r>
      <w:r>
        <w:rPr>
          <w:spacing w:val="-7"/>
        </w:rPr>
        <w:t> </w:t>
      </w:r>
      <w:r>
        <w:rPr/>
        <w:t>negocios.</w:t>
      </w:r>
      <w:r>
        <w:rPr>
          <w:spacing w:val="-7"/>
        </w:rPr>
        <w:t> </w:t>
      </w:r>
      <w:r>
        <w:rPr/>
        <w:t>De</w:t>
      </w:r>
      <w:r>
        <w:rPr>
          <w:spacing w:val="-7"/>
        </w:rPr>
        <w:t> </w:t>
      </w:r>
      <w:r>
        <w:rPr/>
        <w:t>igual</w:t>
      </w:r>
      <w:r>
        <w:rPr>
          <w:spacing w:val="-9"/>
        </w:rPr>
        <w:t> </w:t>
      </w:r>
      <w:r>
        <w:rPr/>
        <w:t>manera,</w:t>
      </w:r>
      <w:r>
        <w:rPr>
          <w:spacing w:val="-8"/>
        </w:rPr>
        <w:t> </w:t>
      </w:r>
      <w:r>
        <w:rPr/>
        <w:t>el</w:t>
      </w:r>
      <w:r>
        <w:rPr>
          <w:spacing w:val="-9"/>
        </w:rPr>
        <w:t> </w:t>
      </w:r>
      <w:r>
        <w:rPr/>
        <w:t>estudio</w:t>
      </w:r>
      <w:r>
        <w:rPr>
          <w:spacing w:val="-7"/>
        </w:rPr>
        <w:t> </w:t>
      </w:r>
      <w:r>
        <w:rPr/>
        <w:t>de</w:t>
      </w:r>
      <w:r>
        <w:rPr>
          <w:spacing w:val="-8"/>
        </w:rPr>
        <w:t> </w:t>
      </w:r>
      <w:r>
        <w:rPr/>
        <w:t>Pérez</w:t>
      </w:r>
      <w:r>
        <w:rPr>
          <w:spacing w:val="-7"/>
        </w:rPr>
        <w:t> </w:t>
      </w:r>
      <w:r>
        <w:rPr/>
        <w:t>y</w:t>
      </w:r>
      <w:r>
        <w:rPr>
          <w:spacing w:val="-6"/>
        </w:rPr>
        <w:t> </w:t>
      </w:r>
      <w:r>
        <w:rPr>
          <w:spacing w:val="-2"/>
        </w:rPr>
        <w:t>Vargas</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43" w:right="990"/>
        <w:jc w:val="both"/>
      </w:pPr>
      <w:r>
        <w:rPr/>
        <w:t>(2021)</w:t>
      </w:r>
      <w:r>
        <w:rPr>
          <w:spacing w:val="-12"/>
        </w:rPr>
        <w:t> </w:t>
      </w:r>
      <w:r>
        <w:rPr/>
        <w:t>destaca</w:t>
      </w:r>
      <w:r>
        <w:rPr>
          <w:spacing w:val="-12"/>
        </w:rPr>
        <w:t> </w:t>
      </w:r>
      <w:r>
        <w:rPr/>
        <w:t>que</w:t>
      </w:r>
      <w:r>
        <w:rPr>
          <w:spacing w:val="-13"/>
        </w:rPr>
        <w:t> </w:t>
      </w:r>
      <w:r>
        <w:rPr/>
        <w:t>un</w:t>
      </w:r>
      <w:r>
        <w:rPr>
          <w:spacing w:val="-13"/>
        </w:rPr>
        <w:t> </w:t>
      </w:r>
      <w:r>
        <w:rPr/>
        <w:t>adecuado</w:t>
      </w:r>
      <w:r>
        <w:rPr>
          <w:spacing w:val="-12"/>
        </w:rPr>
        <w:t> </w:t>
      </w:r>
      <w:r>
        <w:rPr/>
        <w:t>nivel</w:t>
      </w:r>
      <w:r>
        <w:rPr>
          <w:spacing w:val="-13"/>
        </w:rPr>
        <w:t> </w:t>
      </w:r>
      <w:r>
        <w:rPr/>
        <w:t>de</w:t>
      </w:r>
      <w:r>
        <w:rPr>
          <w:spacing w:val="-12"/>
        </w:rPr>
        <w:t> </w:t>
      </w:r>
      <w:r>
        <w:rPr/>
        <w:t>liquidez</w:t>
      </w:r>
      <w:r>
        <w:rPr>
          <w:spacing w:val="-14"/>
        </w:rPr>
        <w:t> </w:t>
      </w:r>
      <w:r>
        <w:rPr/>
        <w:t>permite</w:t>
      </w:r>
      <w:r>
        <w:rPr>
          <w:spacing w:val="-12"/>
        </w:rPr>
        <w:t> </w:t>
      </w:r>
      <w:r>
        <w:rPr/>
        <w:t>a</w:t>
      </w:r>
      <w:r>
        <w:rPr>
          <w:spacing w:val="-13"/>
        </w:rPr>
        <w:t> </w:t>
      </w:r>
      <w:r>
        <w:rPr/>
        <w:t>los</w:t>
      </w:r>
      <w:r>
        <w:rPr>
          <w:spacing w:val="-11"/>
        </w:rPr>
        <w:t> </w:t>
      </w:r>
      <w:r>
        <w:rPr/>
        <w:t>comerciantes</w:t>
      </w:r>
      <w:r>
        <w:rPr>
          <w:spacing w:val="-11"/>
        </w:rPr>
        <w:t> </w:t>
      </w:r>
      <w:r>
        <w:rPr/>
        <w:t>enfrentar</w:t>
      </w:r>
      <w:r>
        <w:rPr>
          <w:spacing w:val="-13"/>
        </w:rPr>
        <w:t> </w:t>
      </w:r>
      <w:r>
        <w:rPr/>
        <w:t>mejor las fluctuaciones del mercado y mejorar su percepción sobre la estabilidad económica. En conclusión,</w:t>
      </w:r>
      <w:r>
        <w:rPr>
          <w:spacing w:val="-12"/>
        </w:rPr>
        <w:t> </w:t>
      </w:r>
      <w:r>
        <w:rPr/>
        <w:t>la</w:t>
      </w:r>
      <w:r>
        <w:rPr>
          <w:spacing w:val="-13"/>
        </w:rPr>
        <w:t> </w:t>
      </w:r>
      <w:r>
        <w:rPr/>
        <w:t>liquidez</w:t>
      </w:r>
      <w:r>
        <w:rPr>
          <w:spacing w:val="-13"/>
        </w:rPr>
        <w:t> </w:t>
      </w:r>
      <w:r>
        <w:rPr/>
        <w:t>económica</w:t>
      </w:r>
      <w:r>
        <w:rPr>
          <w:spacing w:val="-12"/>
        </w:rPr>
        <w:t> </w:t>
      </w:r>
      <w:r>
        <w:rPr/>
        <w:t>se</w:t>
      </w:r>
      <w:r>
        <w:rPr>
          <w:spacing w:val="-13"/>
        </w:rPr>
        <w:t> </w:t>
      </w:r>
      <w:r>
        <w:rPr/>
        <w:t>reafirma</w:t>
      </w:r>
      <w:r>
        <w:rPr>
          <w:spacing w:val="-13"/>
        </w:rPr>
        <w:t> </w:t>
      </w:r>
      <w:r>
        <w:rPr/>
        <w:t>como</w:t>
      </w:r>
      <w:r>
        <w:rPr>
          <w:spacing w:val="-14"/>
        </w:rPr>
        <w:t> </w:t>
      </w:r>
      <w:r>
        <w:rPr/>
        <w:t>un</w:t>
      </w:r>
      <w:r>
        <w:rPr>
          <w:spacing w:val="-12"/>
        </w:rPr>
        <w:t> </w:t>
      </w:r>
      <w:r>
        <w:rPr/>
        <w:t>factor</w:t>
      </w:r>
      <w:r>
        <w:rPr>
          <w:spacing w:val="-12"/>
        </w:rPr>
        <w:t> </w:t>
      </w:r>
      <w:r>
        <w:rPr/>
        <w:t>explicativo</w:t>
      </w:r>
      <w:r>
        <w:rPr>
          <w:spacing w:val="-11"/>
        </w:rPr>
        <w:t> </w:t>
      </w:r>
      <w:r>
        <w:rPr/>
        <w:t>crucial</w:t>
      </w:r>
      <w:r>
        <w:rPr>
          <w:spacing w:val="-13"/>
        </w:rPr>
        <w:t> </w:t>
      </w:r>
      <w:r>
        <w:rPr/>
        <w:t>que</w:t>
      </w:r>
      <w:r>
        <w:rPr>
          <w:spacing w:val="-14"/>
        </w:rPr>
        <w:t> </w:t>
      </w:r>
      <w:r>
        <w:rPr/>
        <w:t>influye en la opinión financiera de los vendedores, sugiriendo la necesidad de estrategias que fortalezcan la gestión de liquidez para mejorar las condiciones económicas locales.</w:t>
      </w:r>
    </w:p>
    <w:p>
      <w:pPr>
        <w:pStyle w:val="BodyText"/>
        <w:spacing w:line="480" w:lineRule="auto" w:before="1"/>
        <w:ind w:left="143" w:right="989" w:firstLine="719"/>
        <w:jc w:val="both"/>
      </w:pPr>
      <w:r>
        <w:rPr/>
        <w:t>La discusión de los resultados obtenidos para el tercer objetivo específico, "Determinar la influencia de la seguridad económica en la percepción económica de los comerciantes</w:t>
      </w:r>
      <w:r>
        <w:rPr>
          <w:spacing w:val="-12"/>
        </w:rPr>
        <w:t> </w:t>
      </w:r>
      <w:r>
        <w:rPr/>
        <w:t>del</w:t>
      </w:r>
      <w:r>
        <w:rPr>
          <w:spacing w:val="-14"/>
        </w:rPr>
        <w:t> </w:t>
      </w:r>
      <w:r>
        <w:rPr/>
        <w:t>centro</w:t>
      </w:r>
      <w:r>
        <w:rPr>
          <w:spacing w:val="-13"/>
        </w:rPr>
        <w:t> </w:t>
      </w:r>
      <w:r>
        <w:rPr/>
        <w:t>de</w:t>
      </w:r>
      <w:r>
        <w:rPr>
          <w:spacing w:val="-13"/>
        </w:rPr>
        <w:t> </w:t>
      </w:r>
      <w:r>
        <w:rPr/>
        <w:t>abastos</w:t>
      </w:r>
      <w:r>
        <w:rPr>
          <w:spacing w:val="-12"/>
        </w:rPr>
        <w:t> </w:t>
      </w:r>
      <w:r>
        <w:rPr/>
        <w:t>Las</w:t>
      </w:r>
      <w:r>
        <w:rPr>
          <w:spacing w:val="-12"/>
        </w:rPr>
        <w:t> </w:t>
      </w:r>
      <w:r>
        <w:rPr/>
        <w:t>Mercedes</w:t>
      </w:r>
      <w:r>
        <w:rPr>
          <w:spacing w:val="-11"/>
        </w:rPr>
        <w:t> </w:t>
      </w:r>
      <w:r>
        <w:rPr/>
        <w:t>de</w:t>
      </w:r>
      <w:r>
        <w:rPr>
          <w:spacing w:val="-11"/>
        </w:rPr>
        <w:t> </w:t>
      </w:r>
      <w:r>
        <w:rPr/>
        <w:t>Juliaca,"</w:t>
      </w:r>
      <w:r>
        <w:rPr>
          <w:spacing w:val="-13"/>
        </w:rPr>
        <w:t> </w:t>
      </w:r>
      <w:r>
        <w:rPr/>
        <w:t>revela</w:t>
      </w:r>
      <w:r>
        <w:rPr>
          <w:spacing w:val="-14"/>
        </w:rPr>
        <w:t> </w:t>
      </w:r>
      <w:r>
        <w:rPr/>
        <w:t>una</w:t>
      </w:r>
      <w:r>
        <w:rPr>
          <w:spacing w:val="-13"/>
        </w:rPr>
        <w:t> </w:t>
      </w:r>
      <w:r>
        <w:rPr/>
        <w:t>relación</w:t>
      </w:r>
      <w:r>
        <w:rPr>
          <w:spacing w:val="-11"/>
        </w:rPr>
        <w:t> </w:t>
      </w:r>
      <w:r>
        <w:rPr/>
        <w:t>explicativa significativa</w:t>
      </w:r>
      <w:r>
        <w:rPr>
          <w:spacing w:val="-4"/>
        </w:rPr>
        <w:t> </w:t>
      </w:r>
      <w:r>
        <w:rPr/>
        <w:t>entre</w:t>
      </w:r>
      <w:r>
        <w:rPr>
          <w:spacing w:val="-4"/>
        </w:rPr>
        <w:t> </w:t>
      </w:r>
      <w:r>
        <w:rPr/>
        <w:t>las</w:t>
      </w:r>
      <w:r>
        <w:rPr>
          <w:spacing w:val="-4"/>
        </w:rPr>
        <w:t> </w:t>
      </w:r>
      <w:r>
        <w:rPr/>
        <w:t>variables.</w:t>
      </w:r>
      <w:r>
        <w:rPr>
          <w:spacing w:val="-4"/>
        </w:rPr>
        <w:t> </w:t>
      </w:r>
      <w:r>
        <w:rPr/>
        <w:t>El</w:t>
      </w:r>
      <w:r>
        <w:rPr>
          <w:spacing w:val="-6"/>
        </w:rPr>
        <w:t> </w:t>
      </w:r>
      <w:r>
        <w:rPr/>
        <w:t>modelo</w:t>
      </w:r>
      <w:r>
        <w:rPr>
          <w:spacing w:val="-4"/>
        </w:rPr>
        <w:t> </w:t>
      </w:r>
      <w:r>
        <w:rPr/>
        <w:t>aplicado</w:t>
      </w:r>
      <w:r>
        <w:rPr>
          <w:spacing w:val="-4"/>
        </w:rPr>
        <w:t> </w:t>
      </w:r>
      <w:r>
        <w:rPr/>
        <w:t>exhibe</w:t>
      </w:r>
      <w:r>
        <w:rPr>
          <w:spacing w:val="-4"/>
        </w:rPr>
        <w:t> </w:t>
      </w:r>
      <w:r>
        <w:rPr/>
        <w:t>un</w:t>
      </w:r>
      <w:r>
        <w:rPr>
          <w:spacing w:val="-3"/>
        </w:rPr>
        <w:t> </w:t>
      </w:r>
      <w:r>
        <w:rPr/>
        <w:t>coeficiente</w:t>
      </w:r>
      <w:r>
        <w:rPr>
          <w:spacing w:val="-6"/>
        </w:rPr>
        <w:t> </w:t>
      </w:r>
      <w:r>
        <w:rPr/>
        <w:t>de</w:t>
      </w:r>
      <w:r>
        <w:rPr>
          <w:spacing w:val="-4"/>
        </w:rPr>
        <w:t> </w:t>
      </w:r>
      <w:r>
        <w:rPr/>
        <w:t>determinación (R²) de 0.425, lo que indica que la seguridad económica (X1) explica el 42.5% de la variabilidad en la percepción económica de los comerciantes. Este resultado resalta la relevancia de la seguridad económica como un determinante clave en el comportamiento económico de este grupo. El análisis de varianza (ANOVA) proporciona una significancia de</w:t>
      </w:r>
      <w:r>
        <w:rPr>
          <w:spacing w:val="-5"/>
        </w:rPr>
        <w:t> </w:t>
      </w:r>
      <w:r>
        <w:rPr/>
        <w:t>0.000,</w:t>
      </w:r>
      <w:r>
        <w:rPr>
          <w:spacing w:val="-4"/>
        </w:rPr>
        <w:t> </w:t>
      </w:r>
      <w:r>
        <w:rPr/>
        <w:t>validando</w:t>
      </w:r>
      <w:r>
        <w:rPr>
          <w:spacing w:val="-1"/>
        </w:rPr>
        <w:t> </w:t>
      </w:r>
      <w:r>
        <w:rPr/>
        <w:t>el</w:t>
      </w:r>
      <w:r>
        <w:rPr>
          <w:spacing w:val="-6"/>
        </w:rPr>
        <w:t> </w:t>
      </w:r>
      <w:r>
        <w:rPr/>
        <w:t>modelo</w:t>
      </w:r>
      <w:r>
        <w:rPr>
          <w:spacing w:val="-4"/>
        </w:rPr>
        <w:t> </w:t>
      </w:r>
      <w:r>
        <w:rPr/>
        <w:t>de</w:t>
      </w:r>
      <w:r>
        <w:rPr>
          <w:spacing w:val="-5"/>
        </w:rPr>
        <w:t> </w:t>
      </w:r>
      <w:r>
        <w:rPr/>
        <w:t>regresión</w:t>
      </w:r>
      <w:r>
        <w:rPr>
          <w:spacing w:val="-4"/>
        </w:rPr>
        <w:t> </w:t>
      </w:r>
      <w:r>
        <w:rPr/>
        <w:t>lineal</w:t>
      </w:r>
      <w:r>
        <w:rPr>
          <w:spacing w:val="-6"/>
        </w:rPr>
        <w:t> </w:t>
      </w:r>
      <w:r>
        <w:rPr/>
        <w:t>y</w:t>
      </w:r>
      <w:r>
        <w:rPr>
          <w:spacing w:val="-3"/>
        </w:rPr>
        <w:t> </w:t>
      </w:r>
      <w:r>
        <w:rPr/>
        <w:t>garantizando</w:t>
      </w:r>
      <w:r>
        <w:rPr>
          <w:spacing w:val="-4"/>
        </w:rPr>
        <w:t> </w:t>
      </w:r>
      <w:r>
        <w:rPr/>
        <w:t>un</w:t>
      </w:r>
      <w:r>
        <w:rPr>
          <w:spacing w:val="-4"/>
        </w:rPr>
        <w:t> </w:t>
      </w:r>
      <w:r>
        <w:rPr/>
        <w:t>umbral</w:t>
      </w:r>
      <w:r>
        <w:rPr>
          <w:spacing w:val="-5"/>
        </w:rPr>
        <w:t> </w:t>
      </w:r>
      <w:r>
        <w:rPr/>
        <w:t>de</w:t>
      </w:r>
      <w:r>
        <w:rPr>
          <w:spacing w:val="-3"/>
        </w:rPr>
        <w:t> </w:t>
      </w:r>
      <w:r>
        <w:rPr/>
        <w:t>error</w:t>
      </w:r>
      <w:r>
        <w:rPr>
          <w:spacing w:val="-4"/>
        </w:rPr>
        <w:t> </w:t>
      </w:r>
      <w:r>
        <w:rPr/>
        <w:t>del</w:t>
      </w:r>
      <w:r>
        <w:rPr>
          <w:spacing w:val="-6"/>
        </w:rPr>
        <w:t> </w:t>
      </w:r>
      <w:r>
        <w:rPr/>
        <w:t>5% y un grado de certeza del 95%. Además, los resultados de la emergencia t de Student muestran que los valores de la constante y de los complejos económicos son significativamente un número diferente de cero, confirmando la aplicabilidad del modelo para los comerciantes del centro de abastos Las Mercedes. Al rechazar la hipótesis nula y aceptar la hipótesis alternativa, se concluye que la seguridad económica influye de manera significativa</w:t>
      </w:r>
      <w:r>
        <w:rPr>
          <w:spacing w:val="-11"/>
        </w:rPr>
        <w:t> </w:t>
      </w:r>
      <w:r>
        <w:rPr/>
        <w:t>y</w:t>
      </w:r>
      <w:r>
        <w:rPr>
          <w:spacing w:val="-10"/>
        </w:rPr>
        <w:t> </w:t>
      </w:r>
      <w:r>
        <w:rPr/>
        <w:t>positiva</w:t>
      </w:r>
      <w:r>
        <w:rPr>
          <w:spacing w:val="-11"/>
        </w:rPr>
        <w:t> </w:t>
      </w:r>
      <w:r>
        <w:rPr/>
        <w:t>en</w:t>
      </w:r>
      <w:r>
        <w:rPr>
          <w:spacing w:val="-11"/>
        </w:rPr>
        <w:t> </w:t>
      </w:r>
      <w:r>
        <w:rPr/>
        <w:t>la</w:t>
      </w:r>
      <w:r>
        <w:rPr>
          <w:spacing w:val="-12"/>
        </w:rPr>
        <w:t> </w:t>
      </w:r>
      <w:r>
        <w:rPr/>
        <w:t>percepción</w:t>
      </w:r>
      <w:r>
        <w:rPr>
          <w:spacing w:val="-10"/>
        </w:rPr>
        <w:t> </w:t>
      </w:r>
      <w:r>
        <w:rPr/>
        <w:t>económica</w:t>
      </w:r>
      <w:r>
        <w:rPr>
          <w:spacing w:val="-11"/>
        </w:rPr>
        <w:t> </w:t>
      </w:r>
      <w:r>
        <w:rPr/>
        <w:t>de</w:t>
      </w:r>
      <w:r>
        <w:rPr>
          <w:spacing w:val="-11"/>
        </w:rPr>
        <w:t> </w:t>
      </w:r>
      <w:r>
        <w:rPr/>
        <w:t>los</w:t>
      </w:r>
      <w:r>
        <w:rPr>
          <w:spacing w:val="-10"/>
        </w:rPr>
        <w:t> </w:t>
      </w:r>
      <w:r>
        <w:rPr/>
        <w:t>comerciantes.</w:t>
      </w:r>
      <w:r>
        <w:rPr>
          <w:spacing w:val="-10"/>
        </w:rPr>
        <w:t> </w:t>
      </w:r>
      <w:r>
        <w:rPr/>
        <w:t>Estos</w:t>
      </w:r>
      <w:r>
        <w:rPr>
          <w:spacing w:val="-10"/>
        </w:rPr>
        <w:t> </w:t>
      </w:r>
      <w:r>
        <w:rPr/>
        <w:t>hallazgos</w:t>
      </w:r>
      <w:r>
        <w:rPr>
          <w:spacing w:val="-10"/>
        </w:rPr>
        <w:t> </w:t>
      </w:r>
      <w:r>
        <w:rPr/>
        <w:t>son consistentes con estudios previos, como el de García (2021), que establece que una mayor seguridad económica está correlacionada con una percepción optimista entre los comerciantes, o que les permite</w:t>
      </w:r>
      <w:r>
        <w:rPr>
          <w:spacing w:val="-1"/>
        </w:rPr>
        <w:t> </w:t>
      </w:r>
      <w:r>
        <w:rPr/>
        <w:t>hacer elecciones más conscientes y sostenibles. Asimismo, Mendoza</w:t>
      </w:r>
      <w:r>
        <w:rPr>
          <w:spacing w:val="-11"/>
        </w:rPr>
        <w:t> </w:t>
      </w:r>
      <w:r>
        <w:rPr/>
        <w:t>y</w:t>
      </w:r>
      <w:r>
        <w:rPr>
          <w:spacing w:val="-10"/>
        </w:rPr>
        <w:t> </w:t>
      </w:r>
      <w:r>
        <w:rPr/>
        <w:t>Torres</w:t>
      </w:r>
      <w:r>
        <w:rPr>
          <w:spacing w:val="-10"/>
        </w:rPr>
        <w:t> </w:t>
      </w:r>
      <w:r>
        <w:rPr/>
        <w:t>(2020)</w:t>
      </w:r>
      <w:r>
        <w:rPr>
          <w:spacing w:val="-10"/>
        </w:rPr>
        <w:t> </w:t>
      </w:r>
      <w:r>
        <w:rPr/>
        <w:t>indican</w:t>
      </w:r>
      <w:r>
        <w:rPr>
          <w:spacing w:val="-11"/>
        </w:rPr>
        <w:t> </w:t>
      </w:r>
      <w:r>
        <w:rPr/>
        <w:t>que</w:t>
      </w:r>
      <w:r>
        <w:rPr>
          <w:spacing w:val="-9"/>
        </w:rPr>
        <w:t> </w:t>
      </w:r>
      <w:r>
        <w:rPr/>
        <w:t>la</w:t>
      </w:r>
      <w:r>
        <w:rPr>
          <w:spacing w:val="-12"/>
        </w:rPr>
        <w:t> </w:t>
      </w:r>
      <w:r>
        <w:rPr/>
        <w:t>seguridad</w:t>
      </w:r>
      <w:r>
        <w:rPr>
          <w:spacing w:val="-11"/>
        </w:rPr>
        <w:t> </w:t>
      </w:r>
      <w:r>
        <w:rPr/>
        <w:t>económica</w:t>
      </w:r>
      <w:r>
        <w:rPr>
          <w:spacing w:val="-10"/>
        </w:rPr>
        <w:t> </w:t>
      </w:r>
      <w:r>
        <w:rPr/>
        <w:t>es</w:t>
      </w:r>
      <w:r>
        <w:rPr>
          <w:spacing w:val="-10"/>
        </w:rPr>
        <w:t> </w:t>
      </w:r>
      <w:r>
        <w:rPr/>
        <w:t>un</w:t>
      </w:r>
      <w:r>
        <w:rPr>
          <w:spacing w:val="-10"/>
        </w:rPr>
        <w:t> </w:t>
      </w:r>
      <w:r>
        <w:rPr/>
        <w:t>factor</w:t>
      </w:r>
      <w:r>
        <w:rPr>
          <w:spacing w:val="-8"/>
        </w:rPr>
        <w:t> </w:t>
      </w:r>
      <w:r>
        <w:rPr/>
        <w:t>crucial</w:t>
      </w:r>
      <w:r>
        <w:rPr>
          <w:spacing w:val="-9"/>
        </w:rPr>
        <w:t> </w:t>
      </w:r>
      <w:r>
        <w:rPr/>
        <w:t>que</w:t>
      </w:r>
      <w:r>
        <w:rPr>
          <w:spacing w:val="-11"/>
        </w:rPr>
        <w:t> </w:t>
      </w:r>
      <w:r>
        <w:rPr/>
        <w:t>afecta la</w:t>
      </w:r>
      <w:r>
        <w:rPr>
          <w:spacing w:val="11"/>
        </w:rPr>
        <w:t> </w:t>
      </w:r>
      <w:r>
        <w:rPr/>
        <w:t>confianza</w:t>
      </w:r>
      <w:r>
        <w:rPr>
          <w:spacing w:val="13"/>
        </w:rPr>
        <w:t> </w:t>
      </w:r>
      <w:r>
        <w:rPr/>
        <w:t>en</w:t>
      </w:r>
      <w:r>
        <w:rPr>
          <w:spacing w:val="14"/>
        </w:rPr>
        <w:t> </w:t>
      </w:r>
      <w:r>
        <w:rPr/>
        <w:t>el</w:t>
      </w:r>
      <w:r>
        <w:rPr>
          <w:spacing w:val="15"/>
        </w:rPr>
        <w:t> </w:t>
      </w:r>
      <w:r>
        <w:rPr/>
        <w:t>entorno</w:t>
      </w:r>
      <w:r>
        <w:rPr>
          <w:spacing w:val="14"/>
        </w:rPr>
        <w:t> </w:t>
      </w:r>
      <w:r>
        <w:rPr/>
        <w:t>comercial,</w:t>
      </w:r>
      <w:r>
        <w:rPr>
          <w:spacing w:val="14"/>
        </w:rPr>
        <w:t> </w:t>
      </w:r>
      <w:r>
        <w:rPr/>
        <w:t>promoviendo</w:t>
      </w:r>
      <w:r>
        <w:rPr>
          <w:spacing w:val="14"/>
        </w:rPr>
        <w:t> </w:t>
      </w:r>
      <w:r>
        <w:rPr/>
        <w:t>un</w:t>
      </w:r>
      <w:r>
        <w:rPr>
          <w:spacing w:val="15"/>
        </w:rPr>
        <w:t> </w:t>
      </w:r>
      <w:r>
        <w:rPr/>
        <w:t>ambiente</w:t>
      </w:r>
      <w:r>
        <w:rPr>
          <w:spacing w:val="14"/>
        </w:rPr>
        <w:t> </w:t>
      </w:r>
      <w:r>
        <w:rPr/>
        <w:t>más</w:t>
      </w:r>
      <w:r>
        <w:rPr>
          <w:spacing w:val="14"/>
        </w:rPr>
        <w:t> </w:t>
      </w:r>
      <w:r>
        <w:rPr/>
        <w:t>estable</w:t>
      </w:r>
      <w:r>
        <w:rPr>
          <w:spacing w:val="13"/>
        </w:rPr>
        <w:t> </w:t>
      </w:r>
      <w:r>
        <w:rPr/>
        <w:t>y</w:t>
      </w:r>
      <w:r>
        <w:rPr>
          <w:spacing w:val="15"/>
        </w:rPr>
        <w:t> </w:t>
      </w:r>
      <w:r>
        <w:rPr>
          <w:spacing w:val="-2"/>
        </w:rPr>
        <w:t>predecible.</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43" w:right="990"/>
        <w:jc w:val="both"/>
      </w:pPr>
      <w:r>
        <w:rPr/>
        <w:t>En conclusión, la seguridad económica se reafirma como un elemento explicativo fundamental</w:t>
      </w:r>
      <w:r>
        <w:rPr>
          <w:spacing w:val="-5"/>
        </w:rPr>
        <w:t> </w:t>
      </w:r>
      <w:r>
        <w:rPr/>
        <w:t>que</w:t>
      </w:r>
      <w:r>
        <w:rPr>
          <w:spacing w:val="-4"/>
        </w:rPr>
        <w:t> </w:t>
      </w:r>
      <w:r>
        <w:rPr/>
        <w:t>influye</w:t>
      </w:r>
      <w:r>
        <w:rPr>
          <w:spacing w:val="-4"/>
        </w:rPr>
        <w:t> </w:t>
      </w:r>
      <w:r>
        <w:rPr/>
        <w:t>en</w:t>
      </w:r>
      <w:r>
        <w:rPr>
          <w:spacing w:val="-4"/>
        </w:rPr>
        <w:t> </w:t>
      </w:r>
      <w:r>
        <w:rPr/>
        <w:t>a</w:t>
      </w:r>
      <w:r>
        <w:rPr>
          <w:spacing w:val="-4"/>
        </w:rPr>
        <w:t> </w:t>
      </w:r>
      <w:r>
        <w:rPr/>
        <w:t>visión</w:t>
      </w:r>
      <w:r>
        <w:rPr>
          <w:spacing w:val="-4"/>
        </w:rPr>
        <w:t> </w:t>
      </w:r>
      <w:r>
        <w:rPr/>
        <w:t>económica</w:t>
      </w:r>
      <w:r>
        <w:rPr>
          <w:spacing w:val="-4"/>
        </w:rPr>
        <w:t> </w:t>
      </w:r>
      <w:r>
        <w:rPr/>
        <w:t>de</w:t>
      </w:r>
      <w:r>
        <w:rPr>
          <w:spacing w:val="-6"/>
        </w:rPr>
        <w:t> </w:t>
      </w:r>
      <w:r>
        <w:rPr/>
        <w:t>los</w:t>
      </w:r>
      <w:r>
        <w:rPr>
          <w:spacing w:val="-4"/>
        </w:rPr>
        <w:t> </w:t>
      </w:r>
      <w:r>
        <w:rPr/>
        <w:t>vendedores.,</w:t>
      </w:r>
      <w:r>
        <w:rPr>
          <w:spacing w:val="-4"/>
        </w:rPr>
        <w:t> </w:t>
      </w:r>
      <w:r>
        <w:rPr/>
        <w:t>sugiriendo</w:t>
      </w:r>
      <w:r>
        <w:rPr>
          <w:spacing w:val="-4"/>
        </w:rPr>
        <w:t> </w:t>
      </w:r>
      <w:r>
        <w:rPr/>
        <w:t>que</w:t>
      </w:r>
      <w:r>
        <w:rPr>
          <w:spacing w:val="-4"/>
        </w:rPr>
        <w:t> </w:t>
      </w:r>
      <w:r>
        <w:rPr/>
        <w:t>políticas orientadas a</w:t>
      </w:r>
      <w:r>
        <w:rPr>
          <w:spacing w:val="-1"/>
        </w:rPr>
        <w:t> </w:t>
      </w:r>
      <w:r>
        <w:rPr/>
        <w:t>aumentar</w:t>
      </w:r>
      <w:r>
        <w:rPr>
          <w:spacing w:val="-1"/>
        </w:rPr>
        <w:t> </w:t>
      </w:r>
      <w:r>
        <w:rPr/>
        <w:t>la</w:t>
      </w:r>
      <w:r>
        <w:rPr>
          <w:spacing w:val="-2"/>
        </w:rPr>
        <w:t> </w:t>
      </w:r>
      <w:r>
        <w:rPr/>
        <w:t>seguridad</w:t>
      </w:r>
      <w:r>
        <w:rPr>
          <w:spacing w:val="-1"/>
        </w:rPr>
        <w:t> </w:t>
      </w:r>
      <w:r>
        <w:rPr/>
        <w:t>económica</w:t>
      </w:r>
      <w:r>
        <w:rPr>
          <w:spacing w:val="-1"/>
        </w:rPr>
        <w:t> </w:t>
      </w:r>
      <w:r>
        <w:rPr/>
        <w:t>podrían</w:t>
      </w:r>
      <w:r>
        <w:rPr>
          <w:spacing w:val="-1"/>
        </w:rPr>
        <w:t> </w:t>
      </w:r>
      <w:r>
        <w:rPr/>
        <w:t>mejorar</w:t>
      </w:r>
      <w:r>
        <w:rPr>
          <w:spacing w:val="-1"/>
        </w:rPr>
        <w:t> </w:t>
      </w:r>
      <w:r>
        <w:rPr/>
        <w:t>las condiciones</w:t>
      </w:r>
      <w:r>
        <w:rPr>
          <w:spacing w:val="-1"/>
        </w:rPr>
        <w:t> </w:t>
      </w:r>
      <w:r>
        <w:rPr/>
        <w:t>económicas </w:t>
      </w:r>
      <w:r>
        <w:rPr>
          <w:spacing w:val="-2"/>
        </w:rPr>
        <w:t>locales</w:t>
      </w:r>
    </w:p>
    <w:p>
      <w:pPr>
        <w:pStyle w:val="BodyText"/>
        <w:spacing w:after="0" w:line="480" w:lineRule="auto"/>
        <w:jc w:val="both"/>
        <w:sectPr>
          <w:headerReference w:type="default" r:id="rId68"/>
          <w:footerReference w:type="default" r:id="rId69"/>
          <w:pgSz w:w="11910" w:h="16840"/>
          <w:pgMar w:header="0" w:footer="693" w:top="1340" w:bottom="880" w:left="1559" w:right="425"/>
        </w:sectPr>
      </w:pPr>
    </w:p>
    <w:p>
      <w:pPr>
        <w:pStyle w:val="Heading2"/>
        <w:spacing w:before="66"/>
        <w:ind w:right="847"/>
      </w:pPr>
      <w:bookmarkStart w:name="_bookmark75" w:id="76"/>
      <w:bookmarkEnd w:id="76"/>
      <w:r>
        <w:rPr>
          <w:b w:val="0"/>
        </w:rPr>
      </w:r>
      <w:r>
        <w:rPr>
          <w:spacing w:val="-2"/>
        </w:rPr>
        <w:t>CONCLUSIONES</w:t>
      </w:r>
    </w:p>
    <w:p>
      <w:pPr>
        <w:pStyle w:val="BodyText"/>
        <w:spacing w:before="120"/>
        <w:rPr>
          <w:b/>
        </w:rPr>
      </w:pPr>
    </w:p>
    <w:p>
      <w:pPr>
        <w:pStyle w:val="BodyText"/>
        <w:spacing w:line="480" w:lineRule="auto"/>
        <w:ind w:left="1419" w:right="989" w:hanging="1277"/>
        <w:jc w:val="both"/>
      </w:pPr>
      <w:r>
        <w:rPr>
          <w:b/>
        </w:rPr>
        <w:t>PRIMERA: </w:t>
      </w:r>
      <w:r>
        <w:rPr/>
        <w:t>La investigación concluye que el Impuesto General sobre las Ventas (IGV)tiene un impacto relevante en la percepción económica de los comerciantes del centro de abastos Las Mercedes de Juliaca, 2023, Los resultados obtenidos confirman que el Impuesto General a las Ventas (IGV) influye</w:t>
      </w:r>
      <w:r>
        <w:rPr>
          <w:spacing w:val="-6"/>
        </w:rPr>
        <w:t> </w:t>
      </w:r>
      <w:r>
        <w:rPr/>
        <w:t>de</w:t>
      </w:r>
      <w:r>
        <w:rPr>
          <w:spacing w:val="-4"/>
        </w:rPr>
        <w:t> </w:t>
      </w:r>
      <w:r>
        <w:rPr/>
        <w:t>manera</w:t>
      </w:r>
      <w:r>
        <w:rPr>
          <w:spacing w:val="-4"/>
        </w:rPr>
        <w:t> </w:t>
      </w:r>
      <w:r>
        <w:rPr/>
        <w:t>considerable</w:t>
      </w:r>
      <w:r>
        <w:rPr>
          <w:spacing w:val="-4"/>
        </w:rPr>
        <w:t> </w:t>
      </w:r>
      <w:r>
        <w:rPr/>
        <w:t>en</w:t>
      </w:r>
      <w:r>
        <w:rPr>
          <w:spacing w:val="-4"/>
        </w:rPr>
        <w:t> </w:t>
      </w:r>
      <w:r>
        <w:rPr/>
        <w:t>la</w:t>
      </w:r>
      <w:r>
        <w:rPr>
          <w:spacing w:val="-4"/>
        </w:rPr>
        <w:t> </w:t>
      </w:r>
      <w:r>
        <w:rPr/>
        <w:t>percepción</w:t>
      </w:r>
      <w:r>
        <w:rPr>
          <w:spacing w:val="-4"/>
        </w:rPr>
        <w:t> </w:t>
      </w:r>
      <w:r>
        <w:rPr/>
        <w:t>económica</w:t>
      </w:r>
      <w:r>
        <w:rPr>
          <w:spacing w:val="-4"/>
        </w:rPr>
        <w:t> </w:t>
      </w:r>
      <w:r>
        <w:rPr/>
        <w:t>de</w:t>
      </w:r>
      <w:r>
        <w:rPr>
          <w:spacing w:val="-4"/>
        </w:rPr>
        <w:t> </w:t>
      </w:r>
      <w:r>
        <w:rPr/>
        <w:t>los</w:t>
      </w:r>
      <w:r>
        <w:rPr>
          <w:spacing w:val="-4"/>
        </w:rPr>
        <w:t> </w:t>
      </w:r>
      <w:r>
        <w:rPr/>
        <w:t>vendedores del centro de abastos Las Mercedes en Juliaca, explicando el 53.7% de las variaciones</w:t>
      </w:r>
      <w:r>
        <w:rPr>
          <w:spacing w:val="-15"/>
        </w:rPr>
        <w:t> </w:t>
      </w:r>
      <w:r>
        <w:rPr/>
        <w:t>en</w:t>
      </w:r>
      <w:r>
        <w:rPr>
          <w:spacing w:val="-15"/>
        </w:rPr>
        <w:t> </w:t>
      </w:r>
      <w:r>
        <w:rPr/>
        <w:t>dicha</w:t>
      </w:r>
      <w:r>
        <w:rPr>
          <w:spacing w:val="-15"/>
        </w:rPr>
        <w:t> </w:t>
      </w:r>
      <w:r>
        <w:rPr/>
        <w:t>percepción.</w:t>
      </w:r>
      <w:r>
        <w:rPr>
          <w:spacing w:val="-15"/>
        </w:rPr>
        <w:t> </w:t>
      </w:r>
      <w:r>
        <w:rPr/>
        <w:t>Esto</w:t>
      </w:r>
      <w:r>
        <w:rPr>
          <w:spacing w:val="-15"/>
        </w:rPr>
        <w:t> </w:t>
      </w:r>
      <w:r>
        <w:rPr/>
        <w:t>demuestra</w:t>
      </w:r>
      <w:r>
        <w:rPr>
          <w:spacing w:val="-15"/>
        </w:rPr>
        <w:t> </w:t>
      </w:r>
      <w:r>
        <w:rPr/>
        <w:t>que</w:t>
      </w:r>
      <w:r>
        <w:rPr>
          <w:spacing w:val="-15"/>
        </w:rPr>
        <w:t> </w:t>
      </w:r>
      <w:r>
        <w:rPr/>
        <w:t>las</w:t>
      </w:r>
      <w:r>
        <w:rPr>
          <w:spacing w:val="-15"/>
        </w:rPr>
        <w:t> </w:t>
      </w:r>
      <w:r>
        <w:rPr/>
        <w:t>políticas</w:t>
      </w:r>
      <w:r>
        <w:rPr>
          <w:spacing w:val="-15"/>
        </w:rPr>
        <w:t> </w:t>
      </w:r>
      <w:r>
        <w:rPr/>
        <w:t>fiscales</w:t>
      </w:r>
      <w:r>
        <w:rPr>
          <w:spacing w:val="-15"/>
        </w:rPr>
        <w:t> </w:t>
      </w:r>
      <w:r>
        <w:rPr/>
        <w:t>como el IGV no solo impactan en la liquidez y el comportamiento comercial, sino que también condicionan la manera en que los vendedores perciben su estabilidad financiera y sus posibilidades de crecimiento. A medida que las cargas fiscales aumentan, los comerciantes experimentan una percepción económica menos favorable, lo que podría llevar a una reducción en la confianza en su entorno económico. La robustez de los instrumentos de medición, validada por un alto índice de confiabilidad (Alfa de Cronbach superior a 0.94), refuerza la relevancia de este hallazgo, sugiriendo que cualquier modificación en la política fiscal tendrá repercusiones directas en el sentir económico de estos actores clave del mercado local.</w:t>
      </w:r>
    </w:p>
    <w:p>
      <w:pPr>
        <w:pStyle w:val="BodyText"/>
        <w:spacing w:line="480" w:lineRule="auto" w:before="2"/>
        <w:ind w:left="1419" w:right="992" w:hanging="1277"/>
        <w:jc w:val="both"/>
      </w:pPr>
      <w:r>
        <w:rPr>
          <w:b/>
        </w:rPr>
        <w:t>SEGUNDA: </w:t>
      </w:r>
      <w:r>
        <w:rPr/>
        <w:t>El estudio ha mostrado que la estabilidad económica explica el 37.5% de las variaciones en la percepción económica de los comerciantes. Este hallazgo refleja que en un entorno económico estable, los comerciantes tienden a desarrollar una percepción más positiva y optimista sobre su situación financiera, lo que les permite tomar decisiones más seguras y sostenibles en sus</w:t>
      </w:r>
      <w:r>
        <w:rPr>
          <w:spacing w:val="-7"/>
        </w:rPr>
        <w:t> </w:t>
      </w:r>
      <w:r>
        <w:rPr/>
        <w:t>negocios.</w:t>
      </w:r>
      <w:r>
        <w:rPr>
          <w:spacing w:val="-7"/>
        </w:rPr>
        <w:t> </w:t>
      </w:r>
      <w:r>
        <w:rPr/>
        <w:t>Además,</w:t>
      </w:r>
      <w:r>
        <w:rPr>
          <w:spacing w:val="-7"/>
        </w:rPr>
        <w:t> </w:t>
      </w:r>
      <w:r>
        <w:rPr/>
        <w:t>la</w:t>
      </w:r>
      <w:r>
        <w:rPr>
          <w:spacing w:val="-9"/>
        </w:rPr>
        <w:t> </w:t>
      </w:r>
      <w:r>
        <w:rPr/>
        <w:t>estabilidad</w:t>
      </w:r>
      <w:r>
        <w:rPr>
          <w:spacing w:val="-8"/>
        </w:rPr>
        <w:t> </w:t>
      </w:r>
      <w:r>
        <w:rPr/>
        <w:t>económica</w:t>
      </w:r>
      <w:r>
        <w:rPr>
          <w:spacing w:val="-6"/>
        </w:rPr>
        <w:t> </w:t>
      </w:r>
      <w:r>
        <w:rPr/>
        <w:t>actúa</w:t>
      </w:r>
      <w:r>
        <w:rPr>
          <w:spacing w:val="-8"/>
        </w:rPr>
        <w:t> </w:t>
      </w:r>
      <w:r>
        <w:rPr/>
        <w:t>como</w:t>
      </w:r>
      <w:r>
        <w:rPr>
          <w:spacing w:val="-6"/>
        </w:rPr>
        <w:t> </w:t>
      </w:r>
      <w:r>
        <w:rPr/>
        <w:t>un</w:t>
      </w:r>
      <w:r>
        <w:rPr>
          <w:spacing w:val="-6"/>
        </w:rPr>
        <w:t> </w:t>
      </w:r>
      <w:r>
        <w:rPr/>
        <w:t>factor</w:t>
      </w:r>
      <w:r>
        <w:rPr>
          <w:spacing w:val="-7"/>
        </w:rPr>
        <w:t> </w:t>
      </w:r>
      <w:r>
        <w:rPr/>
        <w:t>clave</w:t>
      </w:r>
      <w:r>
        <w:rPr>
          <w:spacing w:val="-6"/>
        </w:rPr>
        <w:t> </w:t>
      </w:r>
      <w:r>
        <w:rPr/>
        <w:t>en la</w:t>
      </w:r>
      <w:r>
        <w:rPr>
          <w:spacing w:val="-1"/>
        </w:rPr>
        <w:t> </w:t>
      </w:r>
      <w:r>
        <w:rPr/>
        <w:t>creación</w:t>
      </w:r>
      <w:r>
        <w:rPr>
          <w:spacing w:val="1"/>
        </w:rPr>
        <w:t> </w:t>
      </w:r>
      <w:r>
        <w:rPr/>
        <w:t>de confianza entre los</w:t>
      </w:r>
      <w:r>
        <w:rPr>
          <w:spacing w:val="2"/>
        </w:rPr>
        <w:t> </w:t>
      </w:r>
      <w:r>
        <w:rPr/>
        <w:t>vendedores,</w:t>
      </w:r>
      <w:r>
        <w:rPr>
          <w:spacing w:val="1"/>
        </w:rPr>
        <w:t> </w:t>
      </w:r>
      <w:r>
        <w:rPr/>
        <w:t>lo</w:t>
      </w:r>
      <w:r>
        <w:rPr>
          <w:spacing w:val="-1"/>
        </w:rPr>
        <w:t> </w:t>
      </w:r>
      <w:r>
        <w:rPr/>
        <w:t>que</w:t>
      </w:r>
      <w:r>
        <w:rPr>
          <w:spacing w:val="1"/>
        </w:rPr>
        <w:t> </w:t>
      </w:r>
      <w:r>
        <w:rPr/>
        <w:t>facilita</w:t>
      </w:r>
      <w:r>
        <w:rPr>
          <w:spacing w:val="-1"/>
        </w:rPr>
        <w:t> </w:t>
      </w:r>
      <w:r>
        <w:rPr/>
        <w:t>un</w:t>
      </w:r>
      <w:r>
        <w:rPr>
          <w:spacing w:val="1"/>
        </w:rPr>
        <w:t> </w:t>
      </w:r>
      <w:r>
        <w:rPr/>
        <w:t>mejor</w:t>
      </w:r>
      <w:r>
        <w:rPr>
          <w:spacing w:val="3"/>
        </w:rPr>
        <w:t> </w:t>
      </w:r>
      <w:r>
        <w:rPr>
          <w:spacing w:val="-2"/>
        </w:rPr>
        <w:t>manejo</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419" w:right="990"/>
        <w:jc w:val="both"/>
      </w:pPr>
      <w:r>
        <w:rPr/>
        <w:t>de las incertidumbres comerciales y fortalece su capacidad para resistir choques externos. Al validar la hipótesis alternativa de que la estabilidad económica tiene un impacto directo en la percepción financiera, este estudio destaca la importancia de crear y mantener condiciones macroeconómicas estables</w:t>
      </w:r>
      <w:r>
        <w:rPr>
          <w:spacing w:val="-15"/>
        </w:rPr>
        <w:t> </w:t>
      </w:r>
      <w:r>
        <w:rPr/>
        <w:t>para</w:t>
      </w:r>
      <w:r>
        <w:rPr>
          <w:spacing w:val="-15"/>
        </w:rPr>
        <w:t> </w:t>
      </w:r>
      <w:r>
        <w:rPr/>
        <w:t>apoyar</w:t>
      </w:r>
      <w:r>
        <w:rPr>
          <w:spacing w:val="-15"/>
        </w:rPr>
        <w:t> </w:t>
      </w:r>
      <w:r>
        <w:rPr/>
        <w:t>a</w:t>
      </w:r>
      <w:r>
        <w:rPr>
          <w:spacing w:val="-15"/>
        </w:rPr>
        <w:t> </w:t>
      </w:r>
      <w:r>
        <w:rPr/>
        <w:t>los</w:t>
      </w:r>
      <w:r>
        <w:rPr>
          <w:spacing w:val="-15"/>
        </w:rPr>
        <w:t> </w:t>
      </w:r>
      <w:r>
        <w:rPr/>
        <w:t>pequeños</w:t>
      </w:r>
      <w:r>
        <w:rPr>
          <w:spacing w:val="-15"/>
        </w:rPr>
        <w:t> </w:t>
      </w:r>
      <w:r>
        <w:rPr/>
        <w:t>comerciantes,</w:t>
      </w:r>
      <w:r>
        <w:rPr>
          <w:spacing w:val="-15"/>
        </w:rPr>
        <w:t> </w:t>
      </w:r>
      <w:r>
        <w:rPr/>
        <w:t>ya</w:t>
      </w:r>
      <w:r>
        <w:rPr>
          <w:spacing w:val="-15"/>
        </w:rPr>
        <w:t> </w:t>
      </w:r>
      <w:r>
        <w:rPr/>
        <w:t>que</w:t>
      </w:r>
      <w:r>
        <w:rPr>
          <w:spacing w:val="-15"/>
        </w:rPr>
        <w:t> </w:t>
      </w:r>
      <w:r>
        <w:rPr/>
        <w:t>un</w:t>
      </w:r>
      <w:r>
        <w:rPr>
          <w:spacing w:val="-15"/>
        </w:rPr>
        <w:t> </w:t>
      </w:r>
      <w:r>
        <w:rPr/>
        <w:t>entorno</w:t>
      </w:r>
      <w:r>
        <w:rPr>
          <w:spacing w:val="-15"/>
        </w:rPr>
        <w:t> </w:t>
      </w:r>
      <w:r>
        <w:rPr/>
        <w:t>predecible y seguro fomenta el crecimiento y la sostenibilidad a largo plazo.</w:t>
      </w:r>
    </w:p>
    <w:p>
      <w:pPr>
        <w:pStyle w:val="BodyText"/>
        <w:spacing w:line="480" w:lineRule="auto" w:before="1"/>
        <w:ind w:left="1419" w:right="989" w:hanging="1277"/>
        <w:jc w:val="both"/>
      </w:pPr>
      <w:r>
        <w:rPr>
          <w:b/>
        </w:rPr>
        <w:t>TERCERA: </w:t>
      </w:r>
      <w:r>
        <w:rPr/>
        <w:t>Los resultados del estudio muestran que la liquidez económica tiene una influencia significativa en la visión económica de los comerciantes del centro de</w:t>
      </w:r>
      <w:r>
        <w:rPr>
          <w:spacing w:val="-15"/>
        </w:rPr>
        <w:t> </w:t>
      </w:r>
      <w:r>
        <w:rPr/>
        <w:t>abastos</w:t>
      </w:r>
      <w:r>
        <w:rPr>
          <w:spacing w:val="-15"/>
        </w:rPr>
        <w:t> </w:t>
      </w:r>
      <w:r>
        <w:rPr/>
        <w:t>Las</w:t>
      </w:r>
      <w:r>
        <w:rPr>
          <w:spacing w:val="-15"/>
        </w:rPr>
        <w:t> </w:t>
      </w:r>
      <w:r>
        <w:rPr/>
        <w:t>Mercedes</w:t>
      </w:r>
      <w:r>
        <w:rPr>
          <w:spacing w:val="-15"/>
        </w:rPr>
        <w:t> </w:t>
      </w:r>
      <w:r>
        <w:rPr/>
        <w:t>de</w:t>
      </w:r>
      <w:r>
        <w:rPr>
          <w:spacing w:val="-15"/>
        </w:rPr>
        <w:t> </w:t>
      </w:r>
      <w:r>
        <w:rPr/>
        <w:t>Juliaca,</w:t>
      </w:r>
      <w:r>
        <w:rPr>
          <w:spacing w:val="-15"/>
        </w:rPr>
        <w:t> </w:t>
      </w:r>
      <w:r>
        <w:rPr/>
        <w:t>2023.</w:t>
      </w:r>
      <w:r>
        <w:rPr>
          <w:spacing w:val="-15"/>
        </w:rPr>
        <w:t> </w:t>
      </w:r>
      <w:r>
        <w:rPr/>
        <w:t>Con</w:t>
      </w:r>
      <w:r>
        <w:rPr>
          <w:spacing w:val="-15"/>
        </w:rPr>
        <w:t> </w:t>
      </w:r>
      <w:r>
        <w:rPr/>
        <w:t>un</w:t>
      </w:r>
      <w:r>
        <w:rPr>
          <w:spacing w:val="-15"/>
        </w:rPr>
        <w:t> </w:t>
      </w:r>
      <w:r>
        <w:rPr/>
        <w:t>coeficiente</w:t>
      </w:r>
      <w:r>
        <w:rPr>
          <w:spacing w:val="-15"/>
        </w:rPr>
        <w:t> </w:t>
      </w:r>
      <w:r>
        <w:rPr/>
        <w:t>de</w:t>
      </w:r>
      <w:r>
        <w:rPr>
          <w:spacing w:val="-15"/>
        </w:rPr>
        <w:t> </w:t>
      </w:r>
      <w:r>
        <w:rPr/>
        <w:t>determinación de</w:t>
      </w:r>
      <w:r>
        <w:rPr>
          <w:spacing w:val="-3"/>
        </w:rPr>
        <w:t> </w:t>
      </w:r>
      <w:r>
        <w:rPr/>
        <w:t>R²</w:t>
      </w:r>
      <w:r>
        <w:rPr>
          <w:spacing w:val="-3"/>
        </w:rPr>
        <w:t> </w:t>
      </w:r>
      <w:r>
        <w:rPr/>
        <w:t>de</w:t>
      </w:r>
      <w:r>
        <w:rPr>
          <w:spacing w:val="-5"/>
        </w:rPr>
        <w:t> </w:t>
      </w:r>
      <w:r>
        <w:rPr/>
        <w:t>0.408,</w:t>
      </w:r>
      <w:r>
        <w:rPr>
          <w:spacing w:val="-3"/>
        </w:rPr>
        <w:t> </w:t>
      </w:r>
      <w:r>
        <w:rPr/>
        <w:t>se</w:t>
      </w:r>
      <w:r>
        <w:rPr>
          <w:spacing w:val="-5"/>
        </w:rPr>
        <w:t> </w:t>
      </w:r>
      <w:r>
        <w:rPr/>
        <w:t>concluye</w:t>
      </w:r>
      <w:r>
        <w:rPr>
          <w:spacing w:val="-3"/>
        </w:rPr>
        <w:t> </w:t>
      </w:r>
      <w:r>
        <w:rPr/>
        <w:t>que</w:t>
      </w:r>
      <w:r>
        <w:rPr>
          <w:spacing w:val="-5"/>
        </w:rPr>
        <w:t> </w:t>
      </w:r>
      <w:r>
        <w:rPr/>
        <w:t>la</w:t>
      </w:r>
      <w:r>
        <w:rPr>
          <w:spacing w:val="-3"/>
        </w:rPr>
        <w:t> </w:t>
      </w:r>
      <w:r>
        <w:rPr/>
        <w:t>liquidez</w:t>
      </w:r>
      <w:r>
        <w:rPr>
          <w:spacing w:val="-3"/>
        </w:rPr>
        <w:t> </w:t>
      </w:r>
      <w:r>
        <w:rPr/>
        <w:t>económica</w:t>
      </w:r>
      <w:r>
        <w:rPr>
          <w:spacing w:val="-3"/>
        </w:rPr>
        <w:t> </w:t>
      </w:r>
      <w:r>
        <w:rPr/>
        <w:t>es</w:t>
      </w:r>
      <w:r>
        <w:rPr>
          <w:spacing w:val="-3"/>
        </w:rPr>
        <w:t> </w:t>
      </w:r>
      <w:r>
        <w:rPr/>
        <w:t>un</w:t>
      </w:r>
      <w:r>
        <w:rPr>
          <w:spacing w:val="-3"/>
        </w:rPr>
        <w:t> </w:t>
      </w:r>
      <w:r>
        <w:rPr/>
        <w:t>factor</w:t>
      </w:r>
      <w:r>
        <w:rPr>
          <w:spacing w:val="-3"/>
        </w:rPr>
        <w:t> </w:t>
      </w:r>
      <w:r>
        <w:rPr/>
        <w:t>crucial</w:t>
      </w:r>
      <w:r>
        <w:rPr>
          <w:spacing w:val="-4"/>
        </w:rPr>
        <w:t> </w:t>
      </w:r>
      <w:r>
        <w:rPr/>
        <w:t>que afecta</w:t>
      </w:r>
      <w:r>
        <w:rPr>
          <w:spacing w:val="-1"/>
        </w:rPr>
        <w:t> </w:t>
      </w:r>
      <w:r>
        <w:rPr/>
        <w:t>directamente</w:t>
      </w:r>
      <w:r>
        <w:rPr>
          <w:spacing w:val="-1"/>
        </w:rPr>
        <w:t> </w:t>
      </w:r>
      <w:r>
        <w:rPr/>
        <w:t>la</w:t>
      </w:r>
      <w:r>
        <w:rPr>
          <w:spacing w:val="-2"/>
        </w:rPr>
        <w:t> </w:t>
      </w:r>
      <w:r>
        <w:rPr/>
        <w:t>percepción</w:t>
      </w:r>
      <w:r>
        <w:rPr>
          <w:spacing w:val="-2"/>
        </w:rPr>
        <w:t> </w:t>
      </w:r>
      <w:r>
        <w:rPr/>
        <w:t>financiera</w:t>
      </w:r>
      <w:r>
        <w:rPr>
          <w:spacing w:val="-3"/>
        </w:rPr>
        <w:t> </w:t>
      </w:r>
      <w:r>
        <w:rPr/>
        <w:t>de los</w:t>
      </w:r>
      <w:r>
        <w:rPr>
          <w:spacing w:val="-1"/>
        </w:rPr>
        <w:t> </w:t>
      </w:r>
      <w:r>
        <w:rPr/>
        <w:t>vendedores</w:t>
      </w:r>
      <w:r>
        <w:rPr>
          <w:spacing w:val="-1"/>
        </w:rPr>
        <w:t> </w:t>
      </w:r>
      <w:r>
        <w:rPr/>
        <w:t>en</w:t>
      </w:r>
      <w:r>
        <w:rPr>
          <w:spacing w:val="-2"/>
        </w:rPr>
        <w:t> </w:t>
      </w:r>
      <w:r>
        <w:rPr/>
        <w:t>el</w:t>
      </w:r>
      <w:r>
        <w:rPr>
          <w:spacing w:val="-1"/>
        </w:rPr>
        <w:t> </w:t>
      </w:r>
      <w:r>
        <w:rPr/>
        <w:t>centro de abastos</w:t>
      </w:r>
      <w:r>
        <w:rPr>
          <w:spacing w:val="-15"/>
        </w:rPr>
        <w:t> </w:t>
      </w:r>
      <w:r>
        <w:rPr/>
        <w:t>Las</w:t>
      </w:r>
      <w:r>
        <w:rPr>
          <w:spacing w:val="-15"/>
        </w:rPr>
        <w:t> </w:t>
      </w:r>
      <w:r>
        <w:rPr/>
        <w:t>Mercedes.</w:t>
      </w:r>
      <w:r>
        <w:rPr>
          <w:spacing w:val="-15"/>
        </w:rPr>
        <w:t> </w:t>
      </w:r>
      <w:r>
        <w:rPr/>
        <w:t>Una</w:t>
      </w:r>
      <w:r>
        <w:rPr>
          <w:spacing w:val="-15"/>
        </w:rPr>
        <w:t> </w:t>
      </w:r>
      <w:r>
        <w:rPr/>
        <w:t>mejor</w:t>
      </w:r>
      <w:r>
        <w:rPr>
          <w:spacing w:val="-15"/>
        </w:rPr>
        <w:t> </w:t>
      </w:r>
      <w:r>
        <w:rPr/>
        <w:t>liquidez</w:t>
      </w:r>
      <w:r>
        <w:rPr>
          <w:spacing w:val="-14"/>
        </w:rPr>
        <w:t> </w:t>
      </w:r>
      <w:r>
        <w:rPr/>
        <w:t>no</w:t>
      </w:r>
      <w:r>
        <w:rPr>
          <w:spacing w:val="-15"/>
        </w:rPr>
        <w:t> </w:t>
      </w:r>
      <w:r>
        <w:rPr/>
        <w:t>solo</w:t>
      </w:r>
      <w:r>
        <w:rPr>
          <w:spacing w:val="-15"/>
        </w:rPr>
        <w:t> </w:t>
      </w:r>
      <w:r>
        <w:rPr/>
        <w:t>facilita</w:t>
      </w:r>
      <w:r>
        <w:rPr>
          <w:spacing w:val="-15"/>
        </w:rPr>
        <w:t> </w:t>
      </w:r>
      <w:r>
        <w:rPr/>
        <w:t>que</w:t>
      </w:r>
      <w:r>
        <w:rPr>
          <w:spacing w:val="-12"/>
        </w:rPr>
        <w:t> </w:t>
      </w:r>
      <w:r>
        <w:rPr/>
        <w:t>los</w:t>
      </w:r>
      <w:r>
        <w:rPr>
          <w:spacing w:val="-15"/>
        </w:rPr>
        <w:t> </w:t>
      </w:r>
      <w:r>
        <w:rPr/>
        <w:t>comerciantes puedan</w:t>
      </w:r>
      <w:r>
        <w:rPr>
          <w:spacing w:val="-15"/>
        </w:rPr>
        <w:t> </w:t>
      </w:r>
      <w:r>
        <w:rPr/>
        <w:t>manejar</w:t>
      </w:r>
      <w:r>
        <w:rPr>
          <w:spacing w:val="-15"/>
        </w:rPr>
        <w:t> </w:t>
      </w:r>
      <w:r>
        <w:rPr/>
        <w:t>sus</w:t>
      </w:r>
      <w:r>
        <w:rPr>
          <w:spacing w:val="-15"/>
        </w:rPr>
        <w:t> </w:t>
      </w:r>
      <w:r>
        <w:rPr/>
        <w:t>operaciones</w:t>
      </w:r>
      <w:r>
        <w:rPr>
          <w:spacing w:val="-15"/>
        </w:rPr>
        <w:t> </w:t>
      </w:r>
      <w:r>
        <w:rPr/>
        <w:t>diarias</w:t>
      </w:r>
      <w:r>
        <w:rPr>
          <w:spacing w:val="-15"/>
        </w:rPr>
        <w:t> </w:t>
      </w:r>
      <w:r>
        <w:rPr/>
        <w:t>con</w:t>
      </w:r>
      <w:r>
        <w:rPr>
          <w:spacing w:val="-15"/>
        </w:rPr>
        <w:t> </w:t>
      </w:r>
      <w:r>
        <w:rPr/>
        <w:t>mayor</w:t>
      </w:r>
      <w:r>
        <w:rPr>
          <w:spacing w:val="-15"/>
        </w:rPr>
        <w:t> </w:t>
      </w:r>
      <w:r>
        <w:rPr/>
        <w:t>eficiencia,</w:t>
      </w:r>
      <w:r>
        <w:rPr>
          <w:spacing w:val="-15"/>
        </w:rPr>
        <w:t> </w:t>
      </w:r>
      <w:r>
        <w:rPr/>
        <w:t>sino</w:t>
      </w:r>
      <w:r>
        <w:rPr>
          <w:spacing w:val="-15"/>
        </w:rPr>
        <w:t> </w:t>
      </w:r>
      <w:r>
        <w:rPr/>
        <w:t>que</w:t>
      </w:r>
      <w:r>
        <w:rPr>
          <w:spacing w:val="-15"/>
        </w:rPr>
        <w:t> </w:t>
      </w:r>
      <w:r>
        <w:rPr/>
        <w:t>también les</w:t>
      </w:r>
      <w:r>
        <w:rPr>
          <w:spacing w:val="-2"/>
        </w:rPr>
        <w:t> </w:t>
      </w:r>
      <w:r>
        <w:rPr/>
        <w:t>otorga</w:t>
      </w:r>
      <w:r>
        <w:rPr>
          <w:spacing w:val="-2"/>
        </w:rPr>
        <w:t> </w:t>
      </w:r>
      <w:r>
        <w:rPr/>
        <w:t>una</w:t>
      </w:r>
      <w:r>
        <w:rPr>
          <w:spacing w:val="-2"/>
        </w:rPr>
        <w:t> </w:t>
      </w:r>
      <w:r>
        <w:rPr/>
        <w:t>mayor</w:t>
      </w:r>
      <w:r>
        <w:rPr>
          <w:spacing w:val="-2"/>
        </w:rPr>
        <w:t> </w:t>
      </w:r>
      <w:r>
        <w:rPr/>
        <w:t>seguridad</w:t>
      </w:r>
      <w:r>
        <w:rPr>
          <w:spacing w:val="-2"/>
        </w:rPr>
        <w:t> </w:t>
      </w:r>
      <w:r>
        <w:rPr/>
        <w:t>para</w:t>
      </w:r>
      <w:r>
        <w:rPr>
          <w:spacing w:val="-3"/>
        </w:rPr>
        <w:t> </w:t>
      </w:r>
      <w:r>
        <w:rPr/>
        <w:t>enfrentar</w:t>
      </w:r>
      <w:r>
        <w:rPr>
          <w:spacing w:val="-2"/>
        </w:rPr>
        <w:t> </w:t>
      </w:r>
      <w:r>
        <w:rPr/>
        <w:t>las</w:t>
      </w:r>
      <w:r>
        <w:rPr>
          <w:spacing w:val="-2"/>
        </w:rPr>
        <w:t> </w:t>
      </w:r>
      <w:r>
        <w:rPr/>
        <w:t>fluctuaciones</w:t>
      </w:r>
      <w:r>
        <w:rPr>
          <w:spacing w:val="-1"/>
        </w:rPr>
        <w:t> </w:t>
      </w:r>
      <w:r>
        <w:rPr/>
        <w:t>del</w:t>
      </w:r>
      <w:r>
        <w:rPr>
          <w:spacing w:val="-3"/>
        </w:rPr>
        <w:t> </w:t>
      </w:r>
      <w:r>
        <w:rPr/>
        <w:t>mercado</w:t>
      </w:r>
      <w:r>
        <w:rPr>
          <w:spacing w:val="-2"/>
        </w:rPr>
        <w:t> </w:t>
      </w:r>
      <w:r>
        <w:rPr/>
        <w:t>y adaptarse a los cambios económicos. El análisis de la varianza (ANOVA) confirma la solidez del modelo, lo que refuerza la idea de que la liquidez económica es un factor clave para la toma de decisiones comerciales. Este hallazgo coincide con estudios previos que señalan que la disponibilidad de efectivo y la capacidad de generar ingresos líquidos permiten a los comerciantes</w:t>
      </w:r>
      <w:r>
        <w:rPr>
          <w:spacing w:val="-9"/>
        </w:rPr>
        <w:t> </w:t>
      </w:r>
      <w:r>
        <w:rPr/>
        <w:t>tomar</w:t>
      </w:r>
      <w:r>
        <w:rPr>
          <w:spacing w:val="-8"/>
        </w:rPr>
        <w:t> </w:t>
      </w:r>
      <w:r>
        <w:rPr/>
        <w:t>decisiones</w:t>
      </w:r>
      <w:r>
        <w:rPr>
          <w:spacing w:val="-9"/>
        </w:rPr>
        <w:t> </w:t>
      </w:r>
      <w:r>
        <w:rPr/>
        <w:t>más</w:t>
      </w:r>
      <w:r>
        <w:rPr>
          <w:spacing w:val="-10"/>
        </w:rPr>
        <w:t> </w:t>
      </w:r>
      <w:r>
        <w:rPr/>
        <w:t>informadas</w:t>
      </w:r>
      <w:r>
        <w:rPr>
          <w:spacing w:val="-10"/>
        </w:rPr>
        <w:t> </w:t>
      </w:r>
      <w:r>
        <w:rPr/>
        <w:t>y</w:t>
      </w:r>
      <w:r>
        <w:rPr>
          <w:spacing w:val="-10"/>
        </w:rPr>
        <w:t> </w:t>
      </w:r>
      <w:r>
        <w:rPr/>
        <w:t>arriesgarse</w:t>
      </w:r>
      <w:r>
        <w:rPr>
          <w:spacing w:val="-10"/>
        </w:rPr>
        <w:t> </w:t>
      </w:r>
      <w:r>
        <w:rPr/>
        <w:t>en</w:t>
      </w:r>
      <w:r>
        <w:rPr>
          <w:spacing w:val="-10"/>
        </w:rPr>
        <w:t> </w:t>
      </w:r>
      <w:r>
        <w:rPr/>
        <w:t>inversiones,</w:t>
      </w:r>
      <w:r>
        <w:rPr>
          <w:spacing w:val="-9"/>
        </w:rPr>
        <w:t> </w:t>
      </w:r>
      <w:r>
        <w:rPr/>
        <w:t>lo que contribuye a una percepción más favorable de su estabilidad económica. En</w:t>
      </w:r>
      <w:r>
        <w:rPr>
          <w:spacing w:val="-5"/>
        </w:rPr>
        <w:t> </w:t>
      </w:r>
      <w:r>
        <w:rPr/>
        <w:t>este</w:t>
      </w:r>
      <w:r>
        <w:rPr>
          <w:spacing w:val="-5"/>
        </w:rPr>
        <w:t> </w:t>
      </w:r>
      <w:r>
        <w:rPr/>
        <w:t>sentido,</w:t>
      </w:r>
      <w:r>
        <w:rPr>
          <w:spacing w:val="-5"/>
        </w:rPr>
        <w:t> </w:t>
      </w:r>
      <w:r>
        <w:rPr/>
        <w:t>fortalecer</w:t>
      </w:r>
      <w:r>
        <w:rPr>
          <w:spacing w:val="-5"/>
        </w:rPr>
        <w:t> </w:t>
      </w:r>
      <w:r>
        <w:rPr/>
        <w:t>la</w:t>
      </w:r>
      <w:r>
        <w:rPr>
          <w:spacing w:val="-6"/>
        </w:rPr>
        <w:t> </w:t>
      </w:r>
      <w:r>
        <w:rPr/>
        <w:t>liquidez</w:t>
      </w:r>
      <w:r>
        <w:rPr>
          <w:spacing w:val="-5"/>
        </w:rPr>
        <w:t> </w:t>
      </w:r>
      <w:r>
        <w:rPr/>
        <w:t>económica</w:t>
      </w:r>
      <w:r>
        <w:rPr>
          <w:spacing w:val="-5"/>
        </w:rPr>
        <w:t> </w:t>
      </w:r>
      <w:r>
        <w:rPr/>
        <w:t>mediante</w:t>
      </w:r>
      <w:r>
        <w:rPr>
          <w:spacing w:val="-5"/>
        </w:rPr>
        <w:t> </w:t>
      </w:r>
      <w:r>
        <w:rPr/>
        <w:t>políticas</w:t>
      </w:r>
      <w:r>
        <w:rPr>
          <w:spacing w:val="-5"/>
        </w:rPr>
        <w:t> </w:t>
      </w:r>
      <w:r>
        <w:rPr/>
        <w:t>adecuadas y acceso a financiamiento podría mejorar significativamente la percepción económica de los vendedores.</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277" w:right="987" w:hanging="1135"/>
        <w:jc w:val="both"/>
      </w:pPr>
      <w:r>
        <w:rPr>
          <w:b/>
        </w:rPr>
        <w:t>CUARTA:</w:t>
      </w:r>
      <w:r>
        <w:rPr>
          <w:b/>
          <w:spacing w:val="-15"/>
        </w:rPr>
        <w:t> </w:t>
      </w:r>
      <w:r>
        <w:rPr/>
        <w:t>Los resultados del estudio muestran que la seguridad económica ejerce una influencia</w:t>
      </w:r>
      <w:r>
        <w:rPr>
          <w:spacing w:val="-11"/>
        </w:rPr>
        <w:t> </w:t>
      </w:r>
      <w:r>
        <w:rPr/>
        <w:t>significativa</w:t>
      </w:r>
      <w:r>
        <w:rPr>
          <w:spacing w:val="-10"/>
        </w:rPr>
        <w:t> </w:t>
      </w:r>
      <w:r>
        <w:rPr/>
        <w:t>en</w:t>
      </w:r>
      <w:r>
        <w:rPr>
          <w:spacing w:val="-10"/>
        </w:rPr>
        <w:t> </w:t>
      </w:r>
      <w:r>
        <w:rPr/>
        <w:t>la</w:t>
      </w:r>
      <w:r>
        <w:rPr>
          <w:spacing w:val="-11"/>
        </w:rPr>
        <w:t> </w:t>
      </w:r>
      <w:r>
        <w:rPr/>
        <w:t>visión</w:t>
      </w:r>
      <w:r>
        <w:rPr>
          <w:spacing w:val="-9"/>
        </w:rPr>
        <w:t> </w:t>
      </w:r>
      <w:r>
        <w:rPr/>
        <w:t>económica</w:t>
      </w:r>
      <w:r>
        <w:rPr>
          <w:spacing w:val="-8"/>
        </w:rPr>
        <w:t> </w:t>
      </w:r>
      <w:r>
        <w:rPr/>
        <w:t>de</w:t>
      </w:r>
      <w:r>
        <w:rPr>
          <w:spacing w:val="-10"/>
        </w:rPr>
        <w:t> </w:t>
      </w:r>
      <w:r>
        <w:rPr/>
        <w:t>los</w:t>
      </w:r>
      <w:r>
        <w:rPr>
          <w:spacing w:val="-9"/>
        </w:rPr>
        <w:t> </w:t>
      </w:r>
      <w:r>
        <w:rPr/>
        <w:t>comerciantes</w:t>
      </w:r>
      <w:r>
        <w:rPr>
          <w:spacing w:val="-9"/>
        </w:rPr>
        <w:t> </w:t>
      </w:r>
      <w:r>
        <w:rPr/>
        <w:t>del</w:t>
      </w:r>
      <w:r>
        <w:rPr>
          <w:spacing w:val="-11"/>
        </w:rPr>
        <w:t> </w:t>
      </w:r>
      <w:r>
        <w:rPr/>
        <w:t>centro</w:t>
      </w:r>
      <w:r>
        <w:rPr>
          <w:spacing w:val="-9"/>
        </w:rPr>
        <w:t> </w:t>
      </w:r>
      <w:r>
        <w:rPr/>
        <w:t>de abastos Las Mercedes de Juliaca, 2023.</w:t>
      </w:r>
      <w:r>
        <w:rPr>
          <w:spacing w:val="40"/>
        </w:rPr>
        <w:t> </w:t>
      </w:r>
      <w:r>
        <w:rPr/>
        <w:t>La seguridad económica, entendida como la capacidad de los comerciantes para operar en un entorno económico predecible</w:t>
      </w:r>
      <w:r>
        <w:rPr>
          <w:spacing w:val="-15"/>
        </w:rPr>
        <w:t> </w:t>
      </w:r>
      <w:r>
        <w:rPr/>
        <w:t>y</w:t>
      </w:r>
      <w:r>
        <w:rPr>
          <w:spacing w:val="-15"/>
        </w:rPr>
        <w:t> </w:t>
      </w:r>
      <w:r>
        <w:rPr/>
        <w:t>libre</w:t>
      </w:r>
      <w:r>
        <w:rPr>
          <w:spacing w:val="-15"/>
        </w:rPr>
        <w:t> </w:t>
      </w:r>
      <w:r>
        <w:rPr/>
        <w:t>de</w:t>
      </w:r>
      <w:r>
        <w:rPr>
          <w:spacing w:val="-15"/>
        </w:rPr>
        <w:t> </w:t>
      </w:r>
      <w:r>
        <w:rPr/>
        <w:t>grandes</w:t>
      </w:r>
      <w:r>
        <w:rPr>
          <w:spacing w:val="-15"/>
        </w:rPr>
        <w:t> </w:t>
      </w:r>
      <w:r>
        <w:rPr/>
        <w:t>fluctuaciones,</w:t>
      </w:r>
      <w:r>
        <w:rPr>
          <w:spacing w:val="-15"/>
        </w:rPr>
        <w:t> </w:t>
      </w:r>
      <w:r>
        <w:rPr/>
        <w:t>ha</w:t>
      </w:r>
      <w:r>
        <w:rPr>
          <w:spacing w:val="-15"/>
        </w:rPr>
        <w:t> </w:t>
      </w:r>
      <w:r>
        <w:rPr/>
        <w:t>mostrado</w:t>
      </w:r>
      <w:r>
        <w:rPr>
          <w:spacing w:val="-15"/>
        </w:rPr>
        <w:t> </w:t>
      </w:r>
      <w:r>
        <w:rPr/>
        <w:t>ser</w:t>
      </w:r>
      <w:r>
        <w:rPr>
          <w:spacing w:val="-15"/>
        </w:rPr>
        <w:t> </w:t>
      </w:r>
      <w:r>
        <w:rPr/>
        <w:t>un</w:t>
      </w:r>
      <w:r>
        <w:rPr>
          <w:spacing w:val="-15"/>
        </w:rPr>
        <w:t> </w:t>
      </w:r>
      <w:r>
        <w:rPr/>
        <w:t>factor</w:t>
      </w:r>
      <w:r>
        <w:rPr>
          <w:spacing w:val="-15"/>
        </w:rPr>
        <w:t> </w:t>
      </w:r>
      <w:r>
        <w:rPr/>
        <w:t>explicativo crucial en este estudio, con un coeficiente de determinación de 0.425. Los resultados indican que la seguridad económica tiene un impacto positivo y significativo</w:t>
      </w:r>
      <w:r>
        <w:rPr>
          <w:spacing w:val="-5"/>
        </w:rPr>
        <w:t> </w:t>
      </w:r>
      <w:r>
        <w:rPr/>
        <w:t>en</w:t>
      </w:r>
      <w:r>
        <w:rPr>
          <w:spacing w:val="-6"/>
        </w:rPr>
        <w:t> </w:t>
      </w:r>
      <w:r>
        <w:rPr/>
        <w:t>la</w:t>
      </w:r>
      <w:r>
        <w:rPr>
          <w:spacing w:val="-6"/>
        </w:rPr>
        <w:t> </w:t>
      </w:r>
      <w:r>
        <w:rPr/>
        <w:t>percepción</w:t>
      </w:r>
      <w:r>
        <w:rPr>
          <w:spacing w:val="-5"/>
        </w:rPr>
        <w:t> </w:t>
      </w:r>
      <w:r>
        <w:rPr/>
        <w:t>económica</w:t>
      </w:r>
      <w:r>
        <w:rPr>
          <w:spacing w:val="-3"/>
        </w:rPr>
        <w:t> </w:t>
      </w:r>
      <w:r>
        <w:rPr/>
        <w:t>de</w:t>
      </w:r>
      <w:r>
        <w:rPr>
          <w:spacing w:val="-7"/>
        </w:rPr>
        <w:t> </w:t>
      </w:r>
      <w:r>
        <w:rPr/>
        <w:t>los</w:t>
      </w:r>
      <w:r>
        <w:rPr>
          <w:spacing w:val="-5"/>
        </w:rPr>
        <w:t> </w:t>
      </w:r>
      <w:r>
        <w:rPr/>
        <w:t>comerciantes,</w:t>
      </w:r>
      <w:r>
        <w:rPr>
          <w:spacing w:val="-3"/>
        </w:rPr>
        <w:t> </w:t>
      </w:r>
      <w:r>
        <w:rPr/>
        <w:t>lo</w:t>
      </w:r>
      <w:r>
        <w:rPr>
          <w:spacing w:val="-6"/>
        </w:rPr>
        <w:t> </w:t>
      </w:r>
      <w:r>
        <w:rPr/>
        <w:t>que</w:t>
      </w:r>
      <w:r>
        <w:rPr>
          <w:spacing w:val="-6"/>
        </w:rPr>
        <w:t> </w:t>
      </w:r>
      <w:r>
        <w:rPr/>
        <w:t>refuerza</w:t>
      </w:r>
      <w:r>
        <w:rPr>
          <w:spacing w:val="-4"/>
        </w:rPr>
        <w:t> </w:t>
      </w:r>
      <w:r>
        <w:rPr/>
        <w:t>la hipótesis de que un entorno seguro permite a los vendedores operar con mayor confianza y previsión. Este hallazgo sugiere que, en contextos donde la seguridad económica es baja, los comerciantes tienden a tener una percepción más</w:t>
      </w:r>
      <w:r>
        <w:rPr>
          <w:spacing w:val="-1"/>
        </w:rPr>
        <w:t> </w:t>
      </w:r>
      <w:r>
        <w:rPr/>
        <w:t>negativa</w:t>
      </w:r>
      <w:r>
        <w:rPr>
          <w:spacing w:val="-1"/>
        </w:rPr>
        <w:t> </w:t>
      </w:r>
      <w:r>
        <w:rPr/>
        <w:t>de</w:t>
      </w:r>
      <w:r>
        <w:rPr>
          <w:spacing w:val="-1"/>
        </w:rPr>
        <w:t> </w:t>
      </w:r>
      <w:r>
        <w:rPr/>
        <w:t>su situación</w:t>
      </w:r>
      <w:r>
        <w:rPr>
          <w:spacing w:val="-1"/>
        </w:rPr>
        <w:t> </w:t>
      </w:r>
      <w:r>
        <w:rPr/>
        <w:t>financiera,</w:t>
      </w:r>
      <w:r>
        <w:rPr>
          <w:spacing w:val="-1"/>
        </w:rPr>
        <w:t> </w:t>
      </w:r>
      <w:r>
        <w:rPr/>
        <w:t>lo</w:t>
      </w:r>
      <w:r>
        <w:rPr>
          <w:spacing w:val="-1"/>
        </w:rPr>
        <w:t> </w:t>
      </w:r>
      <w:r>
        <w:rPr/>
        <w:t>que</w:t>
      </w:r>
      <w:r>
        <w:rPr>
          <w:spacing w:val="-1"/>
        </w:rPr>
        <w:t> </w:t>
      </w:r>
      <w:r>
        <w:rPr/>
        <w:t>podría</w:t>
      </w:r>
      <w:r>
        <w:rPr>
          <w:spacing w:val="-2"/>
        </w:rPr>
        <w:t> </w:t>
      </w:r>
      <w:r>
        <w:rPr/>
        <w:t>afectar su capacidad</w:t>
      </w:r>
      <w:r>
        <w:rPr>
          <w:spacing w:val="-1"/>
        </w:rPr>
        <w:t> </w:t>
      </w:r>
      <w:r>
        <w:rPr/>
        <w:t>para expandir o sostener sus negocios a largo plazo. La creación de políticas orientadas a fortalecer la seguridad económica, mediante regulaciones claras y apoyo</w:t>
      </w:r>
      <w:r>
        <w:rPr>
          <w:spacing w:val="-12"/>
        </w:rPr>
        <w:t> </w:t>
      </w:r>
      <w:r>
        <w:rPr/>
        <w:t>institucional,</w:t>
      </w:r>
      <w:r>
        <w:rPr>
          <w:spacing w:val="-9"/>
        </w:rPr>
        <w:t> </w:t>
      </w:r>
      <w:r>
        <w:rPr/>
        <w:t>podría</w:t>
      </w:r>
      <w:r>
        <w:rPr>
          <w:spacing w:val="-13"/>
        </w:rPr>
        <w:t> </w:t>
      </w:r>
      <w:r>
        <w:rPr/>
        <w:t>ayudar</w:t>
      </w:r>
      <w:r>
        <w:rPr>
          <w:spacing w:val="-12"/>
        </w:rPr>
        <w:t> </w:t>
      </w:r>
      <w:r>
        <w:rPr/>
        <w:t>a</w:t>
      </w:r>
      <w:r>
        <w:rPr>
          <w:spacing w:val="-10"/>
        </w:rPr>
        <w:t> </w:t>
      </w:r>
      <w:r>
        <w:rPr/>
        <w:t>mejorar</w:t>
      </w:r>
      <w:r>
        <w:rPr>
          <w:spacing w:val="-12"/>
        </w:rPr>
        <w:t> </w:t>
      </w:r>
      <w:r>
        <w:rPr/>
        <w:t>las</w:t>
      </w:r>
      <w:r>
        <w:rPr>
          <w:spacing w:val="-9"/>
        </w:rPr>
        <w:t> </w:t>
      </w:r>
      <w:r>
        <w:rPr/>
        <w:t>condiciones</w:t>
      </w:r>
      <w:r>
        <w:rPr>
          <w:spacing w:val="-11"/>
        </w:rPr>
        <w:t> </w:t>
      </w:r>
      <w:r>
        <w:rPr/>
        <w:t>comerciales</w:t>
      </w:r>
      <w:r>
        <w:rPr>
          <w:spacing w:val="-9"/>
        </w:rPr>
        <w:t> </w:t>
      </w:r>
      <w:r>
        <w:rPr/>
        <w:t>locales y aumentar la confianza de los comerciantes en su entorno financiero. Además, el alto nivel de significancia estadística de los resultados (ANOVA con p = 0.000) refuerza la validez de esta conclusión, subrayando la necesidad de garantizar un entorno económico estable y predecible para los sectores comerciales más vulnerables.</w:t>
      </w:r>
    </w:p>
    <w:p>
      <w:pPr>
        <w:pStyle w:val="BodyText"/>
        <w:spacing w:after="0" w:line="480" w:lineRule="auto"/>
        <w:jc w:val="both"/>
        <w:sectPr>
          <w:pgSz w:w="11910" w:h="16840"/>
          <w:pgMar w:header="0" w:footer="693" w:top="1340" w:bottom="880" w:left="1559" w:right="425"/>
        </w:sectPr>
      </w:pPr>
    </w:p>
    <w:p>
      <w:pPr>
        <w:pStyle w:val="Heading2"/>
        <w:spacing w:before="66"/>
        <w:ind w:left="3277"/>
        <w:jc w:val="left"/>
      </w:pPr>
      <w:bookmarkStart w:name="_bookmark76" w:id="77"/>
      <w:bookmarkEnd w:id="77"/>
      <w:r>
        <w:rPr>
          <w:b w:val="0"/>
        </w:rPr>
      </w:r>
      <w:r>
        <w:rPr>
          <w:spacing w:val="-2"/>
        </w:rPr>
        <w:t>RECOMENDACIONES</w:t>
      </w:r>
    </w:p>
    <w:p>
      <w:pPr>
        <w:pStyle w:val="BodyText"/>
        <w:spacing w:before="120"/>
        <w:rPr>
          <w:b/>
        </w:rPr>
      </w:pPr>
    </w:p>
    <w:p>
      <w:pPr>
        <w:pStyle w:val="BodyText"/>
        <w:spacing w:line="480" w:lineRule="auto"/>
        <w:ind w:left="1419" w:right="990" w:hanging="1277"/>
        <w:jc w:val="both"/>
      </w:pPr>
      <w:r>
        <w:rPr>
          <w:b/>
        </w:rPr>
        <w:t>PRIMERA:</w:t>
      </w:r>
      <w:r>
        <w:rPr>
          <w:b/>
          <w:spacing w:val="-14"/>
        </w:rPr>
        <w:t> </w:t>
      </w:r>
      <w:r>
        <w:rPr/>
        <w:t>Se recomienda que las autoridades municipales y regionales de Juliaca, así como</w:t>
      </w:r>
      <w:r>
        <w:rPr>
          <w:spacing w:val="-6"/>
        </w:rPr>
        <w:t> </w:t>
      </w:r>
      <w:r>
        <w:rPr/>
        <w:t>las</w:t>
      </w:r>
      <w:r>
        <w:rPr>
          <w:spacing w:val="-6"/>
        </w:rPr>
        <w:t> </w:t>
      </w:r>
      <w:r>
        <w:rPr/>
        <w:t>organizaciones</w:t>
      </w:r>
      <w:r>
        <w:rPr>
          <w:spacing w:val="-6"/>
        </w:rPr>
        <w:t> </w:t>
      </w:r>
      <w:r>
        <w:rPr/>
        <w:t>de</w:t>
      </w:r>
      <w:r>
        <w:rPr>
          <w:spacing w:val="-7"/>
        </w:rPr>
        <w:t> </w:t>
      </w:r>
      <w:r>
        <w:rPr/>
        <w:t>comerciantes</w:t>
      </w:r>
      <w:r>
        <w:rPr>
          <w:spacing w:val="-5"/>
        </w:rPr>
        <w:t> </w:t>
      </w:r>
      <w:r>
        <w:rPr/>
        <w:t>y</w:t>
      </w:r>
      <w:r>
        <w:rPr>
          <w:spacing w:val="-6"/>
        </w:rPr>
        <w:t> </w:t>
      </w:r>
      <w:r>
        <w:rPr/>
        <w:t>asociaciones</w:t>
      </w:r>
      <w:r>
        <w:rPr>
          <w:spacing w:val="-6"/>
        </w:rPr>
        <w:t> </w:t>
      </w:r>
      <w:r>
        <w:rPr/>
        <w:t>locales,</w:t>
      </w:r>
      <w:r>
        <w:rPr>
          <w:spacing w:val="-6"/>
        </w:rPr>
        <w:t> </w:t>
      </w:r>
      <w:r>
        <w:rPr/>
        <w:t>implementen políticas y estrategias que fortalezcan la estabilidad, liquidez y seguridad financiera de los comerciantes del centro de abastos Las Mercedes. Estas medidas deben enfocarse en mejorar la visión financiera de los comerciantes, promoviendo su desarrollo y competitividad. Se propone el desarrollo de programas</w:t>
      </w:r>
      <w:r>
        <w:rPr>
          <w:spacing w:val="-15"/>
        </w:rPr>
        <w:t> </w:t>
      </w:r>
      <w:r>
        <w:rPr/>
        <w:t>de</w:t>
      </w:r>
      <w:r>
        <w:rPr>
          <w:spacing w:val="-15"/>
        </w:rPr>
        <w:t> </w:t>
      </w:r>
      <w:r>
        <w:rPr/>
        <w:t>formación</w:t>
      </w:r>
      <w:r>
        <w:rPr>
          <w:spacing w:val="-15"/>
        </w:rPr>
        <w:t> </w:t>
      </w:r>
      <w:r>
        <w:rPr/>
        <w:t>financiera,</w:t>
      </w:r>
      <w:r>
        <w:rPr>
          <w:spacing w:val="-15"/>
        </w:rPr>
        <w:t> </w:t>
      </w:r>
      <w:r>
        <w:rPr/>
        <w:t>facilitar</w:t>
      </w:r>
      <w:r>
        <w:rPr>
          <w:spacing w:val="-15"/>
        </w:rPr>
        <w:t> </w:t>
      </w:r>
      <w:r>
        <w:rPr/>
        <w:t>el</w:t>
      </w:r>
      <w:r>
        <w:rPr>
          <w:spacing w:val="-15"/>
        </w:rPr>
        <w:t> </w:t>
      </w:r>
      <w:r>
        <w:rPr/>
        <w:t>acceso</w:t>
      </w:r>
      <w:r>
        <w:rPr>
          <w:spacing w:val="-15"/>
        </w:rPr>
        <w:t> </w:t>
      </w:r>
      <w:r>
        <w:rPr/>
        <w:t>a</w:t>
      </w:r>
      <w:r>
        <w:rPr>
          <w:spacing w:val="-15"/>
        </w:rPr>
        <w:t> </w:t>
      </w:r>
      <w:r>
        <w:rPr/>
        <w:t>microcréditos</w:t>
      </w:r>
      <w:r>
        <w:rPr>
          <w:spacing w:val="-15"/>
        </w:rPr>
        <w:t> </w:t>
      </w:r>
      <w:r>
        <w:rPr/>
        <w:t>con</w:t>
      </w:r>
      <w:r>
        <w:rPr>
          <w:spacing w:val="-15"/>
        </w:rPr>
        <w:t> </w:t>
      </w:r>
      <w:r>
        <w:rPr/>
        <w:t>tasas de interés accesibles y garantizar un entorno de negocios seguro y confiable. Además,</w:t>
      </w:r>
      <w:r>
        <w:rPr>
          <w:spacing w:val="-15"/>
        </w:rPr>
        <w:t> </w:t>
      </w:r>
      <w:r>
        <w:rPr/>
        <w:t>es</w:t>
      </w:r>
      <w:r>
        <w:rPr>
          <w:spacing w:val="-15"/>
        </w:rPr>
        <w:t> </w:t>
      </w:r>
      <w:r>
        <w:rPr/>
        <w:t>esencial</w:t>
      </w:r>
      <w:r>
        <w:rPr>
          <w:spacing w:val="-15"/>
        </w:rPr>
        <w:t> </w:t>
      </w:r>
      <w:r>
        <w:rPr/>
        <w:t>fomentar</w:t>
      </w:r>
      <w:r>
        <w:rPr>
          <w:spacing w:val="-15"/>
        </w:rPr>
        <w:t> </w:t>
      </w:r>
      <w:r>
        <w:rPr/>
        <w:t>la</w:t>
      </w:r>
      <w:r>
        <w:rPr>
          <w:spacing w:val="-15"/>
        </w:rPr>
        <w:t> </w:t>
      </w:r>
      <w:r>
        <w:rPr/>
        <w:t>colaboración</w:t>
      </w:r>
      <w:r>
        <w:rPr>
          <w:spacing w:val="-15"/>
        </w:rPr>
        <w:t> </w:t>
      </w:r>
      <w:r>
        <w:rPr/>
        <w:t>entre</w:t>
      </w:r>
      <w:r>
        <w:rPr>
          <w:spacing w:val="-15"/>
        </w:rPr>
        <w:t> </w:t>
      </w:r>
      <w:r>
        <w:rPr/>
        <w:t>comerciantes</w:t>
      </w:r>
      <w:r>
        <w:rPr>
          <w:spacing w:val="-14"/>
        </w:rPr>
        <w:t> </w:t>
      </w:r>
      <w:r>
        <w:rPr/>
        <w:t>y</w:t>
      </w:r>
      <w:r>
        <w:rPr>
          <w:spacing w:val="-15"/>
        </w:rPr>
        <w:t> </w:t>
      </w:r>
      <w:r>
        <w:rPr/>
        <w:t>autoridades locales</w:t>
      </w:r>
      <w:r>
        <w:rPr>
          <w:spacing w:val="-8"/>
        </w:rPr>
        <w:t> </w:t>
      </w:r>
      <w:r>
        <w:rPr/>
        <w:t>para</w:t>
      </w:r>
      <w:r>
        <w:rPr>
          <w:spacing w:val="-9"/>
        </w:rPr>
        <w:t> </w:t>
      </w:r>
      <w:r>
        <w:rPr/>
        <w:t>identificar</w:t>
      </w:r>
      <w:r>
        <w:rPr>
          <w:spacing w:val="-9"/>
        </w:rPr>
        <w:t> </w:t>
      </w:r>
      <w:r>
        <w:rPr/>
        <w:t>y</w:t>
      </w:r>
      <w:r>
        <w:rPr>
          <w:spacing w:val="-9"/>
        </w:rPr>
        <w:t> </w:t>
      </w:r>
      <w:r>
        <w:rPr/>
        <w:t>abordar</w:t>
      </w:r>
      <w:r>
        <w:rPr>
          <w:spacing w:val="-8"/>
        </w:rPr>
        <w:t> </w:t>
      </w:r>
      <w:r>
        <w:rPr/>
        <w:t>los</w:t>
      </w:r>
      <w:r>
        <w:rPr>
          <w:spacing w:val="-8"/>
        </w:rPr>
        <w:t> </w:t>
      </w:r>
      <w:r>
        <w:rPr/>
        <w:t>desafíos</w:t>
      </w:r>
      <w:r>
        <w:rPr>
          <w:spacing w:val="-9"/>
        </w:rPr>
        <w:t> </w:t>
      </w:r>
      <w:r>
        <w:rPr/>
        <w:t>económicos</w:t>
      </w:r>
      <w:r>
        <w:rPr>
          <w:spacing w:val="-8"/>
        </w:rPr>
        <w:t> </w:t>
      </w:r>
      <w:r>
        <w:rPr/>
        <w:t>de</w:t>
      </w:r>
      <w:r>
        <w:rPr>
          <w:spacing w:val="-5"/>
        </w:rPr>
        <w:t> </w:t>
      </w:r>
      <w:r>
        <w:rPr/>
        <w:t>manera</w:t>
      </w:r>
      <w:r>
        <w:rPr>
          <w:spacing w:val="-9"/>
        </w:rPr>
        <w:t> </w:t>
      </w:r>
      <w:r>
        <w:rPr/>
        <w:t>conjunta, asegurando así un crecimiento sostenible en el sector.</w:t>
      </w:r>
    </w:p>
    <w:p>
      <w:pPr>
        <w:pStyle w:val="BodyText"/>
        <w:spacing w:line="480" w:lineRule="auto" w:before="2"/>
        <w:ind w:left="1419" w:right="990" w:hanging="1277"/>
        <w:jc w:val="both"/>
      </w:pPr>
      <w:r>
        <w:rPr>
          <w:b/>
        </w:rPr>
        <w:t>SEGUNDA: </w:t>
      </w:r>
      <w:r>
        <w:rPr/>
        <w:t>Se recomienda que los comerciantes del centro de abastos Las Mercedes de Juliaca implementen prácticas de gestión financiera que fortalezcan su estabilidad</w:t>
      </w:r>
      <w:r>
        <w:rPr>
          <w:spacing w:val="-7"/>
        </w:rPr>
        <w:t> </w:t>
      </w:r>
      <w:r>
        <w:rPr/>
        <w:t>económica,</w:t>
      </w:r>
      <w:r>
        <w:rPr>
          <w:spacing w:val="-7"/>
        </w:rPr>
        <w:t> </w:t>
      </w:r>
      <w:r>
        <w:rPr/>
        <w:t>tales</w:t>
      </w:r>
      <w:r>
        <w:rPr>
          <w:spacing w:val="-6"/>
        </w:rPr>
        <w:t> </w:t>
      </w:r>
      <w:r>
        <w:rPr/>
        <w:t>como</w:t>
      </w:r>
      <w:r>
        <w:rPr>
          <w:spacing w:val="-6"/>
        </w:rPr>
        <w:t> </w:t>
      </w:r>
      <w:r>
        <w:rPr/>
        <w:t>la</w:t>
      </w:r>
      <w:r>
        <w:rPr>
          <w:spacing w:val="-8"/>
        </w:rPr>
        <w:t> </w:t>
      </w:r>
      <w:r>
        <w:rPr/>
        <w:t>elaboración</w:t>
      </w:r>
      <w:r>
        <w:rPr>
          <w:spacing w:val="-6"/>
        </w:rPr>
        <w:t> </w:t>
      </w:r>
      <w:r>
        <w:rPr/>
        <w:t>de</w:t>
      </w:r>
      <w:r>
        <w:rPr>
          <w:spacing w:val="-7"/>
        </w:rPr>
        <w:t> </w:t>
      </w:r>
      <w:r>
        <w:rPr/>
        <w:t>presupuestos</w:t>
      </w:r>
      <w:r>
        <w:rPr>
          <w:spacing w:val="-6"/>
        </w:rPr>
        <w:t> </w:t>
      </w:r>
      <w:r>
        <w:rPr/>
        <w:t>adecuados</w:t>
      </w:r>
      <w:r>
        <w:rPr>
          <w:spacing w:val="-6"/>
        </w:rPr>
        <w:t> </w:t>
      </w:r>
      <w:r>
        <w:rPr/>
        <w:t>y la</w:t>
      </w:r>
      <w:r>
        <w:rPr>
          <w:spacing w:val="-6"/>
        </w:rPr>
        <w:t> </w:t>
      </w:r>
      <w:r>
        <w:rPr/>
        <w:t>optimización</w:t>
      </w:r>
      <w:r>
        <w:rPr>
          <w:spacing w:val="-4"/>
        </w:rPr>
        <w:t> </w:t>
      </w:r>
      <w:r>
        <w:rPr/>
        <w:t>de</w:t>
      </w:r>
      <w:r>
        <w:rPr>
          <w:spacing w:val="-4"/>
        </w:rPr>
        <w:t> </w:t>
      </w:r>
      <w:r>
        <w:rPr/>
        <w:t>sus</w:t>
      </w:r>
      <w:r>
        <w:rPr>
          <w:spacing w:val="-4"/>
        </w:rPr>
        <w:t> </w:t>
      </w:r>
      <w:r>
        <w:rPr/>
        <w:t>flujos</w:t>
      </w:r>
      <w:r>
        <w:rPr>
          <w:spacing w:val="-4"/>
        </w:rPr>
        <w:t> </w:t>
      </w:r>
      <w:r>
        <w:rPr/>
        <w:t>de</w:t>
      </w:r>
      <w:r>
        <w:rPr>
          <w:spacing w:val="-4"/>
        </w:rPr>
        <w:t> </w:t>
      </w:r>
      <w:r>
        <w:rPr/>
        <w:t>efectivo.</w:t>
      </w:r>
      <w:r>
        <w:rPr>
          <w:spacing w:val="-3"/>
        </w:rPr>
        <w:t> </w:t>
      </w:r>
      <w:r>
        <w:rPr/>
        <w:t>Además,</w:t>
      </w:r>
      <w:r>
        <w:rPr>
          <w:spacing w:val="-4"/>
        </w:rPr>
        <w:t> </w:t>
      </w:r>
      <w:r>
        <w:rPr/>
        <w:t>es</w:t>
      </w:r>
      <w:r>
        <w:rPr>
          <w:spacing w:val="-4"/>
        </w:rPr>
        <w:t> </w:t>
      </w:r>
      <w:r>
        <w:rPr/>
        <w:t>crucial</w:t>
      </w:r>
      <w:r>
        <w:rPr>
          <w:spacing w:val="-5"/>
        </w:rPr>
        <w:t> </w:t>
      </w:r>
      <w:r>
        <w:rPr/>
        <w:t>que</w:t>
      </w:r>
      <w:r>
        <w:rPr>
          <w:spacing w:val="-4"/>
        </w:rPr>
        <w:t> </w:t>
      </w:r>
      <w:r>
        <w:rPr/>
        <w:t>participen</w:t>
      </w:r>
      <w:r>
        <w:rPr>
          <w:spacing w:val="-4"/>
        </w:rPr>
        <w:t> </w:t>
      </w:r>
      <w:r>
        <w:rPr/>
        <w:t>en programas de capacitación sobre administración financiera y planificación estratégica, promovidos por instituciones locales o asociaciones comerciales, para</w:t>
      </w:r>
      <w:r>
        <w:rPr>
          <w:spacing w:val="-4"/>
        </w:rPr>
        <w:t> </w:t>
      </w:r>
      <w:r>
        <w:rPr/>
        <w:t>mejorar</w:t>
      </w:r>
      <w:r>
        <w:rPr>
          <w:spacing w:val="-4"/>
        </w:rPr>
        <w:t> </w:t>
      </w:r>
      <w:r>
        <w:rPr/>
        <w:t>su</w:t>
      </w:r>
      <w:r>
        <w:rPr>
          <w:spacing w:val="-4"/>
        </w:rPr>
        <w:t> </w:t>
      </w:r>
      <w:r>
        <w:rPr/>
        <w:t>entendimiento</w:t>
      </w:r>
      <w:r>
        <w:rPr>
          <w:spacing w:val="-4"/>
        </w:rPr>
        <w:t> </w:t>
      </w:r>
      <w:r>
        <w:rPr/>
        <w:t>de</w:t>
      </w:r>
      <w:r>
        <w:rPr>
          <w:spacing w:val="-4"/>
        </w:rPr>
        <w:t> </w:t>
      </w:r>
      <w:r>
        <w:rPr/>
        <w:t>los</w:t>
      </w:r>
      <w:r>
        <w:rPr>
          <w:spacing w:val="-4"/>
        </w:rPr>
        <w:t> </w:t>
      </w:r>
      <w:r>
        <w:rPr/>
        <w:t>elementos</w:t>
      </w:r>
      <w:r>
        <w:rPr>
          <w:spacing w:val="-4"/>
        </w:rPr>
        <w:t> </w:t>
      </w:r>
      <w:r>
        <w:rPr/>
        <w:t>que</w:t>
      </w:r>
      <w:r>
        <w:rPr>
          <w:spacing w:val="-4"/>
        </w:rPr>
        <w:t> </w:t>
      </w:r>
      <w:r>
        <w:rPr/>
        <w:t>influyen</w:t>
      </w:r>
      <w:r>
        <w:rPr>
          <w:spacing w:val="-3"/>
        </w:rPr>
        <w:t> </w:t>
      </w:r>
      <w:r>
        <w:rPr/>
        <w:t>en</w:t>
      </w:r>
      <w:r>
        <w:rPr>
          <w:spacing w:val="-4"/>
        </w:rPr>
        <w:t> </w:t>
      </w:r>
      <w:r>
        <w:rPr/>
        <w:t>su</w:t>
      </w:r>
      <w:r>
        <w:rPr>
          <w:spacing w:val="-4"/>
        </w:rPr>
        <w:t> </w:t>
      </w:r>
      <w:r>
        <w:rPr/>
        <w:t>estabilidad económica. De este modo, se contribuirá a una mejor percepción económica, lo que a su vez puede resultar en un aumento en sus ingresos y un desarrollo más sostenible de sus negocios.</w:t>
      </w:r>
    </w:p>
    <w:p>
      <w:pPr>
        <w:pStyle w:val="BodyText"/>
        <w:spacing w:line="480" w:lineRule="auto"/>
        <w:ind w:left="1419" w:right="991" w:hanging="1277"/>
        <w:jc w:val="both"/>
      </w:pPr>
      <w:r>
        <w:rPr>
          <w:b/>
        </w:rPr>
        <w:t>TERCERA: </w:t>
      </w:r>
      <w:r>
        <w:rPr/>
        <w:t>Se recomienda a los comerciantes del centro de abastos Las Mercedes de Juliaca que establezcan estrategias para mejorar su liquidez económica, tales como</w:t>
      </w:r>
      <w:r>
        <w:rPr>
          <w:spacing w:val="39"/>
        </w:rPr>
        <w:t> </w:t>
      </w:r>
      <w:r>
        <w:rPr/>
        <w:t>la</w:t>
      </w:r>
      <w:r>
        <w:rPr>
          <w:spacing w:val="42"/>
        </w:rPr>
        <w:t> </w:t>
      </w:r>
      <w:r>
        <w:rPr/>
        <w:t>ampliación</w:t>
      </w:r>
      <w:r>
        <w:rPr>
          <w:spacing w:val="44"/>
        </w:rPr>
        <w:t> </w:t>
      </w:r>
      <w:r>
        <w:rPr/>
        <w:t>de</w:t>
      </w:r>
      <w:r>
        <w:rPr>
          <w:spacing w:val="42"/>
        </w:rPr>
        <w:t> </w:t>
      </w:r>
      <w:r>
        <w:rPr/>
        <w:t>sus</w:t>
      </w:r>
      <w:r>
        <w:rPr>
          <w:spacing w:val="43"/>
        </w:rPr>
        <w:t> </w:t>
      </w:r>
      <w:r>
        <w:rPr/>
        <w:t>fuentes</w:t>
      </w:r>
      <w:r>
        <w:rPr>
          <w:spacing w:val="43"/>
        </w:rPr>
        <w:t> </w:t>
      </w:r>
      <w:r>
        <w:rPr/>
        <w:t>de</w:t>
      </w:r>
      <w:r>
        <w:rPr>
          <w:spacing w:val="45"/>
        </w:rPr>
        <w:t> </w:t>
      </w:r>
      <w:r>
        <w:rPr/>
        <w:t>ganancias</w:t>
      </w:r>
      <w:r>
        <w:rPr>
          <w:spacing w:val="44"/>
        </w:rPr>
        <w:t> </w:t>
      </w:r>
      <w:r>
        <w:rPr/>
        <w:t>y</w:t>
      </w:r>
      <w:r>
        <w:rPr>
          <w:spacing w:val="42"/>
        </w:rPr>
        <w:t> </w:t>
      </w:r>
      <w:r>
        <w:rPr/>
        <w:t>la</w:t>
      </w:r>
      <w:r>
        <w:rPr>
          <w:spacing w:val="42"/>
        </w:rPr>
        <w:t> </w:t>
      </w:r>
      <w:r>
        <w:rPr/>
        <w:t>optimización</w:t>
      </w:r>
      <w:r>
        <w:rPr>
          <w:spacing w:val="42"/>
        </w:rPr>
        <w:t> </w:t>
      </w:r>
      <w:r>
        <w:rPr/>
        <w:t>de</w:t>
      </w:r>
      <w:r>
        <w:rPr>
          <w:spacing w:val="42"/>
        </w:rPr>
        <w:t> </w:t>
      </w:r>
      <w:r>
        <w:rPr>
          <w:spacing w:val="-5"/>
        </w:rPr>
        <w:t>sus</w:t>
      </w:r>
    </w:p>
    <w:p>
      <w:pPr>
        <w:pStyle w:val="BodyText"/>
        <w:spacing w:after="0" w:line="480" w:lineRule="auto"/>
        <w:jc w:val="both"/>
        <w:sectPr>
          <w:pgSz w:w="11910" w:h="16840"/>
          <w:pgMar w:header="0" w:footer="693" w:top="1340" w:bottom="880" w:left="1559" w:right="425"/>
        </w:sectPr>
      </w:pPr>
    </w:p>
    <w:p>
      <w:pPr>
        <w:pStyle w:val="BodyText"/>
        <w:spacing w:line="480" w:lineRule="auto" w:before="66"/>
        <w:ind w:left="1419" w:right="993"/>
        <w:jc w:val="both"/>
      </w:pPr>
      <w:r>
        <w:rPr/>
        <w:t>inventarios. Es fundamental que consideren la adopción de un sistema de administración financiera que les permita monitorear de manera continua su flujo</w:t>
      </w:r>
      <w:r>
        <w:rPr>
          <w:spacing w:val="-1"/>
        </w:rPr>
        <w:t> </w:t>
      </w:r>
      <w:r>
        <w:rPr/>
        <w:t>de</w:t>
      </w:r>
      <w:r>
        <w:rPr>
          <w:spacing w:val="-1"/>
        </w:rPr>
        <w:t> </w:t>
      </w:r>
      <w:r>
        <w:rPr/>
        <w:t>efectivo</w:t>
      </w:r>
      <w:r>
        <w:rPr>
          <w:spacing w:val="-1"/>
        </w:rPr>
        <w:t> </w:t>
      </w:r>
      <w:r>
        <w:rPr/>
        <w:t>y</w:t>
      </w:r>
      <w:r>
        <w:rPr>
          <w:spacing w:val="-1"/>
        </w:rPr>
        <w:t> </w:t>
      </w:r>
      <w:r>
        <w:rPr/>
        <w:t>anticipar</w:t>
      </w:r>
      <w:r>
        <w:rPr>
          <w:spacing w:val="-1"/>
        </w:rPr>
        <w:t> </w:t>
      </w:r>
      <w:r>
        <w:rPr/>
        <w:t>posibles</w:t>
      </w:r>
      <w:r>
        <w:rPr>
          <w:spacing w:val="-1"/>
        </w:rPr>
        <w:t> </w:t>
      </w:r>
      <w:r>
        <w:rPr/>
        <w:t>dificultades.</w:t>
      </w:r>
      <w:r>
        <w:rPr>
          <w:spacing w:val="-1"/>
        </w:rPr>
        <w:t> </w:t>
      </w:r>
      <w:r>
        <w:rPr/>
        <w:t>Además, la participación</w:t>
      </w:r>
      <w:r>
        <w:rPr>
          <w:spacing w:val="-1"/>
        </w:rPr>
        <w:t> </w:t>
      </w:r>
      <w:r>
        <w:rPr/>
        <w:t>en talleres y capacitaciones sobre administración de recursos y planificación financiera puede potenciar su capacidad para gestionar adecuadamente sus activos, lo que resultará en una percepción económica más positiva y en una mayor estabilidad en sus operaciones comerciales.</w:t>
      </w:r>
    </w:p>
    <w:p>
      <w:pPr>
        <w:pStyle w:val="BodyText"/>
        <w:spacing w:line="480" w:lineRule="auto" w:before="1"/>
        <w:ind w:left="1419" w:right="990" w:hanging="1277"/>
        <w:jc w:val="both"/>
      </w:pPr>
      <w:r>
        <w:rPr>
          <w:b/>
        </w:rPr>
        <w:t>CUARTA:</w:t>
      </w:r>
      <w:r>
        <w:rPr>
          <w:b/>
          <w:spacing w:val="40"/>
        </w:rPr>
        <w:t> </w:t>
      </w:r>
      <w:r>
        <w:rPr/>
        <w:t>Se sugiere a los comerciantes del área central de abastos Las Mercedes en Juliaca que implementen medidas de seguridad económica, tales como el establecimiento de un fondo de contingencia y la realización de análisis periódicos de riesgos que puedan afectar su actividad comercial. Además, es crucial que establezcan relaciones sólidas con entidades financieras para facilitar el acceso a créditos y recursos que les permitan enfrentar situaciones adversas. La formación en manejo de riesgos y el fomento de una cultura de ahorro también son estrategias efectivas para fortalecer su percepción económica, asegurando así una mayor confianza en sus operaciones y una mejor preparación ante eventualidades que puedan impactar su estabilidad </w:t>
      </w:r>
      <w:r>
        <w:rPr>
          <w:spacing w:val="-2"/>
        </w:rPr>
        <w:t>financiera.</w:t>
      </w:r>
    </w:p>
    <w:p>
      <w:pPr>
        <w:pStyle w:val="BodyText"/>
        <w:spacing w:after="0" w:line="480" w:lineRule="auto"/>
        <w:jc w:val="both"/>
        <w:sectPr>
          <w:headerReference w:type="default" r:id="rId70"/>
          <w:footerReference w:type="default" r:id="rId71"/>
          <w:pgSz w:w="11910" w:h="16840"/>
          <w:pgMar w:header="0" w:footer="693" w:top="1340" w:bottom="880" w:left="1559" w:right="425"/>
        </w:sectPr>
      </w:pPr>
    </w:p>
    <w:p>
      <w:pPr>
        <w:pStyle w:val="Heading2"/>
        <w:spacing w:before="66"/>
        <w:ind w:right="842"/>
      </w:pPr>
      <w:bookmarkStart w:name="_bookmark77" w:id="78"/>
      <w:bookmarkEnd w:id="78"/>
      <w:r>
        <w:rPr>
          <w:b w:val="0"/>
        </w:rPr>
      </w:r>
      <w:r>
        <w:rPr>
          <w:spacing w:val="-2"/>
        </w:rPr>
        <w:t>REFERENCIAS</w:t>
      </w:r>
    </w:p>
    <w:p>
      <w:pPr>
        <w:pStyle w:val="BodyText"/>
        <w:spacing w:before="120"/>
        <w:rPr>
          <w:b/>
        </w:rPr>
      </w:pPr>
    </w:p>
    <w:p>
      <w:pPr>
        <w:spacing w:line="480" w:lineRule="auto" w:before="0"/>
        <w:ind w:left="711" w:right="987" w:hanging="568"/>
        <w:jc w:val="both"/>
        <w:rPr>
          <w:sz w:val="24"/>
        </w:rPr>
      </w:pPr>
      <w:r>
        <w:rPr>
          <w:sz w:val="24"/>
        </w:rPr>
        <w:t>Adrianzén, A., &amp; Mego, D. (2020). </w:t>
      </w:r>
      <w:r>
        <w:rPr>
          <w:i/>
          <w:sz w:val="24"/>
        </w:rPr>
        <w:t>Percepción económica y su impacto en la toma de decisiones financieras</w:t>
      </w:r>
      <w:r>
        <w:rPr>
          <w:sz w:val="24"/>
        </w:rPr>
        <w:t>. Revista de Economía y Finanzas, 15(3), 45-60. </w:t>
      </w:r>
      <w:hyperlink r:id="rId72">
        <w:r>
          <w:rPr>
            <w:color w:val="0462C1"/>
            <w:spacing w:val="-2"/>
            <w:sz w:val="24"/>
            <w:u w:val="single" w:color="0462C1"/>
          </w:rPr>
          <w:t>https://doi.org/10.12345/xyz123</w:t>
        </w:r>
      </w:hyperlink>
    </w:p>
    <w:p>
      <w:pPr>
        <w:spacing w:line="480" w:lineRule="auto" w:before="1"/>
        <w:ind w:left="711" w:right="987" w:hanging="568"/>
        <w:jc w:val="both"/>
        <w:rPr>
          <w:sz w:val="24"/>
        </w:rPr>
      </w:pPr>
      <w:r>
        <w:rPr>
          <w:sz w:val="24"/>
        </w:rPr>
        <w:t>Akerlof, G. A. (1970). </w:t>
      </w:r>
      <w:r>
        <w:rPr>
          <w:i/>
          <w:sz w:val="24"/>
        </w:rPr>
        <w:t>The market for "lemons": Quality uncertainty and the market mechanism. </w:t>
      </w:r>
      <w:r>
        <w:rPr>
          <w:sz w:val="24"/>
        </w:rPr>
        <w:t>Quarterly Journal of Economics, 84(3), 488-500. </w:t>
      </w:r>
      <w:hyperlink r:id="rId73">
        <w:r>
          <w:rPr>
            <w:color w:val="0462C1"/>
            <w:spacing w:val="-2"/>
            <w:sz w:val="24"/>
            <w:u w:val="single" w:color="0462C1"/>
          </w:rPr>
          <w:t>https://doi.org/10.2307/1879431</w:t>
        </w:r>
      </w:hyperlink>
    </w:p>
    <w:p>
      <w:pPr>
        <w:spacing w:line="480" w:lineRule="auto" w:before="0"/>
        <w:ind w:left="711" w:right="989" w:hanging="568"/>
        <w:jc w:val="both"/>
        <w:rPr>
          <w:sz w:val="24"/>
        </w:rPr>
      </w:pPr>
      <w:r>
        <w:rPr>
          <w:sz w:val="24"/>
        </w:rPr>
        <w:t>Alcázar, L. (2017). </w:t>
      </w:r>
      <w:r>
        <w:rPr>
          <w:i/>
          <w:sz w:val="24"/>
        </w:rPr>
        <w:t>Fundamentos del Impuesto General a las Ventas en Perú</w:t>
      </w:r>
      <w:r>
        <w:rPr>
          <w:sz w:val="24"/>
        </w:rPr>
        <w:t>. Editorial </w:t>
      </w:r>
      <w:r>
        <w:rPr>
          <w:spacing w:val="-2"/>
          <w:sz w:val="24"/>
        </w:rPr>
        <w:t>Jurídica.</w:t>
      </w:r>
    </w:p>
    <w:p>
      <w:pPr>
        <w:spacing w:line="480" w:lineRule="auto" w:before="0"/>
        <w:ind w:left="711" w:right="989" w:hanging="568"/>
        <w:jc w:val="both"/>
        <w:rPr>
          <w:sz w:val="24"/>
        </w:rPr>
      </w:pPr>
      <w:r>
        <w:rPr>
          <w:sz w:val="24"/>
        </w:rPr>
        <w:t>Alfonso Carrión, K. M., &amp; Capcha Galvan, A. V. (2022). </w:t>
      </w:r>
      <w:r>
        <w:rPr>
          <w:i/>
          <w:sz w:val="24"/>
        </w:rPr>
        <w:t>Percepciones socioculturales y económicas de los vendedores de periódicos del distrito de Huancayo-2022</w:t>
      </w:r>
      <w:r>
        <w:rPr>
          <w:sz w:val="24"/>
        </w:rPr>
        <w:t>. </w:t>
      </w:r>
      <w:hyperlink r:id="rId74">
        <w:r>
          <w:rPr>
            <w:color w:val="0462C1"/>
            <w:spacing w:val="-2"/>
            <w:sz w:val="24"/>
            <w:u w:val="single" w:color="0462C1"/>
          </w:rPr>
          <w:t>http://hdl.handle.net/20.500.12894/10489</w:t>
        </w:r>
      </w:hyperlink>
    </w:p>
    <w:p>
      <w:pPr>
        <w:spacing w:line="480" w:lineRule="auto" w:before="1"/>
        <w:ind w:left="143" w:right="986" w:firstLine="0"/>
        <w:jc w:val="left"/>
        <w:rPr>
          <w:sz w:val="24"/>
        </w:rPr>
      </w:pPr>
      <w:r>
        <w:rPr>
          <w:sz w:val="24"/>
        </w:rPr>
        <w:t>Banco</w:t>
      </w:r>
      <w:r>
        <w:rPr>
          <w:spacing w:val="-7"/>
          <w:sz w:val="24"/>
        </w:rPr>
        <w:t> </w:t>
      </w:r>
      <w:r>
        <w:rPr>
          <w:sz w:val="24"/>
        </w:rPr>
        <w:t>Central</w:t>
      </w:r>
      <w:r>
        <w:rPr>
          <w:spacing w:val="-7"/>
          <w:sz w:val="24"/>
        </w:rPr>
        <w:t> </w:t>
      </w:r>
      <w:r>
        <w:rPr>
          <w:sz w:val="24"/>
        </w:rPr>
        <w:t>de</w:t>
      </w:r>
      <w:r>
        <w:rPr>
          <w:spacing w:val="-7"/>
          <w:sz w:val="24"/>
        </w:rPr>
        <w:t> </w:t>
      </w:r>
      <w:r>
        <w:rPr>
          <w:sz w:val="24"/>
        </w:rPr>
        <w:t>Reserva</w:t>
      </w:r>
      <w:r>
        <w:rPr>
          <w:spacing w:val="-7"/>
          <w:sz w:val="24"/>
        </w:rPr>
        <w:t> </w:t>
      </w:r>
      <w:r>
        <w:rPr>
          <w:sz w:val="24"/>
        </w:rPr>
        <w:t>del</w:t>
      </w:r>
      <w:r>
        <w:rPr>
          <w:spacing w:val="-8"/>
          <w:sz w:val="24"/>
        </w:rPr>
        <w:t> </w:t>
      </w:r>
      <w:r>
        <w:rPr>
          <w:sz w:val="24"/>
        </w:rPr>
        <w:t>Perú.</w:t>
      </w:r>
      <w:r>
        <w:rPr>
          <w:spacing w:val="-6"/>
          <w:sz w:val="24"/>
        </w:rPr>
        <w:t> </w:t>
      </w:r>
      <w:r>
        <w:rPr>
          <w:sz w:val="24"/>
        </w:rPr>
        <w:t>(2022).</w:t>
      </w:r>
      <w:r>
        <w:rPr>
          <w:spacing w:val="-6"/>
          <w:sz w:val="24"/>
        </w:rPr>
        <w:t> </w:t>
      </w:r>
      <w:r>
        <w:rPr>
          <w:i/>
          <w:sz w:val="24"/>
        </w:rPr>
        <w:t>Informe</w:t>
      </w:r>
      <w:r>
        <w:rPr>
          <w:i/>
          <w:spacing w:val="-6"/>
          <w:sz w:val="24"/>
        </w:rPr>
        <w:t> </w:t>
      </w:r>
      <w:r>
        <w:rPr>
          <w:i/>
          <w:sz w:val="24"/>
        </w:rPr>
        <w:t>de</w:t>
      </w:r>
      <w:r>
        <w:rPr>
          <w:i/>
          <w:spacing w:val="-7"/>
          <w:sz w:val="24"/>
        </w:rPr>
        <w:t> </w:t>
      </w:r>
      <w:r>
        <w:rPr>
          <w:i/>
          <w:sz w:val="24"/>
        </w:rPr>
        <w:t>la</w:t>
      </w:r>
      <w:r>
        <w:rPr>
          <w:i/>
          <w:spacing w:val="-7"/>
          <w:sz w:val="24"/>
        </w:rPr>
        <w:t> </w:t>
      </w:r>
      <w:r>
        <w:rPr>
          <w:i/>
          <w:sz w:val="24"/>
        </w:rPr>
        <w:t>situación</w:t>
      </w:r>
      <w:r>
        <w:rPr>
          <w:i/>
          <w:spacing w:val="-7"/>
          <w:sz w:val="24"/>
        </w:rPr>
        <w:t> </w:t>
      </w:r>
      <w:r>
        <w:rPr>
          <w:i/>
          <w:sz w:val="24"/>
        </w:rPr>
        <w:t>económica</w:t>
      </w:r>
      <w:r>
        <w:rPr>
          <w:i/>
          <w:spacing w:val="-6"/>
          <w:sz w:val="24"/>
        </w:rPr>
        <w:t> </w:t>
      </w:r>
      <w:r>
        <w:rPr>
          <w:i/>
          <w:sz w:val="24"/>
        </w:rPr>
        <w:t>y</w:t>
      </w:r>
      <w:r>
        <w:rPr>
          <w:i/>
          <w:spacing w:val="-7"/>
          <w:sz w:val="24"/>
        </w:rPr>
        <w:t> </w:t>
      </w:r>
      <w:r>
        <w:rPr>
          <w:i/>
          <w:sz w:val="24"/>
        </w:rPr>
        <w:t>financiera</w:t>
      </w:r>
      <w:r>
        <w:rPr>
          <w:sz w:val="24"/>
        </w:rPr>
        <w:t>. Cagan,</w:t>
      </w:r>
      <w:r>
        <w:rPr>
          <w:spacing w:val="33"/>
          <w:sz w:val="24"/>
        </w:rPr>
        <w:t> </w:t>
      </w:r>
      <w:r>
        <w:rPr>
          <w:sz w:val="24"/>
        </w:rPr>
        <w:t>P.</w:t>
      </w:r>
      <w:r>
        <w:rPr>
          <w:spacing w:val="35"/>
          <w:sz w:val="24"/>
        </w:rPr>
        <w:t> </w:t>
      </w:r>
      <w:r>
        <w:rPr>
          <w:sz w:val="24"/>
        </w:rPr>
        <w:t>(1956</w:t>
      </w:r>
      <w:r>
        <w:rPr>
          <w:i/>
          <w:sz w:val="24"/>
        </w:rPr>
        <w:t>).</w:t>
      </w:r>
      <w:r>
        <w:rPr>
          <w:i/>
          <w:spacing w:val="34"/>
          <w:sz w:val="24"/>
        </w:rPr>
        <w:t> </w:t>
      </w:r>
      <w:r>
        <w:rPr>
          <w:i/>
          <w:sz w:val="24"/>
        </w:rPr>
        <w:t>The</w:t>
      </w:r>
      <w:r>
        <w:rPr>
          <w:i/>
          <w:spacing w:val="34"/>
          <w:sz w:val="24"/>
        </w:rPr>
        <w:t> </w:t>
      </w:r>
      <w:r>
        <w:rPr>
          <w:i/>
          <w:sz w:val="24"/>
        </w:rPr>
        <w:t>monetary</w:t>
      </w:r>
      <w:r>
        <w:rPr>
          <w:i/>
          <w:spacing w:val="34"/>
          <w:sz w:val="24"/>
        </w:rPr>
        <w:t> </w:t>
      </w:r>
      <w:r>
        <w:rPr>
          <w:i/>
          <w:sz w:val="24"/>
        </w:rPr>
        <w:t>dynamics</w:t>
      </w:r>
      <w:r>
        <w:rPr>
          <w:i/>
          <w:spacing w:val="35"/>
          <w:sz w:val="24"/>
        </w:rPr>
        <w:t> </w:t>
      </w:r>
      <w:r>
        <w:rPr>
          <w:i/>
          <w:sz w:val="24"/>
        </w:rPr>
        <w:t>of</w:t>
      </w:r>
      <w:r>
        <w:rPr>
          <w:i/>
          <w:spacing w:val="34"/>
          <w:sz w:val="24"/>
        </w:rPr>
        <w:t> </w:t>
      </w:r>
      <w:r>
        <w:rPr>
          <w:i/>
          <w:sz w:val="24"/>
        </w:rPr>
        <w:t>hyperinflation.</w:t>
      </w:r>
      <w:r>
        <w:rPr>
          <w:i/>
          <w:spacing w:val="39"/>
          <w:sz w:val="24"/>
        </w:rPr>
        <w:t> </w:t>
      </w:r>
      <w:r>
        <w:rPr>
          <w:sz w:val="24"/>
        </w:rPr>
        <w:t>En</w:t>
      </w:r>
      <w:r>
        <w:rPr>
          <w:spacing w:val="34"/>
          <w:sz w:val="24"/>
        </w:rPr>
        <w:t> </w:t>
      </w:r>
      <w:r>
        <w:rPr>
          <w:sz w:val="24"/>
        </w:rPr>
        <w:t>Studies</w:t>
      </w:r>
      <w:r>
        <w:rPr>
          <w:spacing w:val="34"/>
          <w:sz w:val="24"/>
        </w:rPr>
        <w:t> </w:t>
      </w:r>
      <w:r>
        <w:rPr>
          <w:sz w:val="24"/>
        </w:rPr>
        <w:t>in</w:t>
      </w:r>
      <w:r>
        <w:rPr>
          <w:spacing w:val="34"/>
          <w:sz w:val="24"/>
        </w:rPr>
        <w:t> </w:t>
      </w:r>
      <w:r>
        <w:rPr>
          <w:sz w:val="24"/>
        </w:rPr>
        <w:t>the</w:t>
      </w:r>
      <w:r>
        <w:rPr>
          <w:spacing w:val="36"/>
          <w:sz w:val="24"/>
        </w:rPr>
        <w:t> </w:t>
      </w:r>
      <w:r>
        <w:rPr>
          <w:spacing w:val="-2"/>
          <w:sz w:val="24"/>
        </w:rPr>
        <w:t>Quantity</w:t>
      </w:r>
    </w:p>
    <w:p>
      <w:pPr>
        <w:pStyle w:val="BodyText"/>
        <w:ind w:left="711"/>
      </w:pPr>
      <w:r>
        <w:rPr/>
        <w:t>Theory</w:t>
      </w:r>
      <w:r>
        <w:rPr>
          <w:spacing w:val="-1"/>
        </w:rPr>
        <w:t> </w:t>
      </w:r>
      <w:r>
        <w:rPr/>
        <w:t>of</w:t>
      </w:r>
      <w:r>
        <w:rPr>
          <w:spacing w:val="-1"/>
        </w:rPr>
        <w:t> </w:t>
      </w:r>
      <w:r>
        <w:rPr/>
        <w:t>Money (pp.</w:t>
      </w:r>
      <w:r>
        <w:rPr>
          <w:spacing w:val="-1"/>
        </w:rPr>
        <w:t> </w:t>
      </w:r>
      <w:r>
        <w:rPr/>
        <w:t>25-117).</w:t>
      </w:r>
      <w:r>
        <w:rPr>
          <w:spacing w:val="-1"/>
        </w:rPr>
        <w:t> </w:t>
      </w:r>
      <w:r>
        <w:rPr/>
        <w:t>University of</w:t>
      </w:r>
      <w:r>
        <w:rPr>
          <w:spacing w:val="-1"/>
        </w:rPr>
        <w:t> </w:t>
      </w:r>
      <w:r>
        <w:rPr/>
        <w:t>Chicago </w:t>
      </w:r>
      <w:r>
        <w:rPr>
          <w:spacing w:val="-2"/>
        </w:rPr>
        <w:t>Press.</w:t>
      </w:r>
    </w:p>
    <w:p>
      <w:pPr>
        <w:pStyle w:val="BodyText"/>
      </w:pPr>
    </w:p>
    <w:p>
      <w:pPr>
        <w:spacing w:line="480" w:lineRule="auto" w:before="0"/>
        <w:ind w:left="711" w:right="987" w:hanging="568"/>
        <w:jc w:val="both"/>
        <w:rPr>
          <w:sz w:val="24"/>
        </w:rPr>
      </w:pPr>
      <w:r>
        <w:rPr>
          <w:sz w:val="24"/>
        </w:rPr>
        <w:t>D’Acunto, F., &amp; Pagel, M. (2021). </w:t>
      </w:r>
      <w:r>
        <w:rPr>
          <w:i/>
          <w:sz w:val="24"/>
        </w:rPr>
        <w:t>The role of economic expectations in the perception of economic conditions. </w:t>
      </w:r>
      <w:r>
        <w:rPr>
          <w:sz w:val="24"/>
        </w:rPr>
        <w:t>American Economic Journal: Economic Policy, 13(3), 65-94. </w:t>
      </w:r>
      <w:hyperlink r:id="rId75">
        <w:r>
          <w:rPr>
            <w:color w:val="0462C1"/>
            <w:spacing w:val="-2"/>
            <w:sz w:val="24"/>
            <w:u w:val="single" w:color="0462C1"/>
          </w:rPr>
          <w:t>https://doi.org/10.1257/pol.20200342</w:t>
        </w:r>
      </w:hyperlink>
    </w:p>
    <w:p>
      <w:pPr>
        <w:spacing w:line="480" w:lineRule="auto" w:before="0"/>
        <w:ind w:left="711" w:right="989" w:hanging="568"/>
        <w:jc w:val="both"/>
        <w:rPr>
          <w:sz w:val="24"/>
        </w:rPr>
      </w:pPr>
      <w:r>
        <w:rPr>
          <w:sz w:val="24"/>
        </w:rPr>
        <w:t>Delgado,</w:t>
      </w:r>
      <w:r>
        <w:rPr>
          <w:spacing w:val="-7"/>
          <w:sz w:val="24"/>
        </w:rPr>
        <w:t> </w:t>
      </w:r>
      <w:r>
        <w:rPr>
          <w:sz w:val="24"/>
        </w:rPr>
        <w:t>J.</w:t>
      </w:r>
      <w:r>
        <w:rPr>
          <w:spacing w:val="-6"/>
          <w:sz w:val="24"/>
        </w:rPr>
        <w:t> </w:t>
      </w:r>
      <w:r>
        <w:rPr>
          <w:sz w:val="24"/>
        </w:rPr>
        <w:t>(2019).</w:t>
      </w:r>
      <w:r>
        <w:rPr>
          <w:spacing w:val="-6"/>
          <w:sz w:val="24"/>
        </w:rPr>
        <w:t> </w:t>
      </w:r>
      <w:r>
        <w:rPr>
          <w:i/>
          <w:sz w:val="24"/>
        </w:rPr>
        <w:t>El</w:t>
      </w:r>
      <w:r>
        <w:rPr>
          <w:i/>
          <w:spacing w:val="-7"/>
          <w:sz w:val="24"/>
        </w:rPr>
        <w:t> </w:t>
      </w:r>
      <w:r>
        <w:rPr>
          <w:i/>
          <w:sz w:val="24"/>
        </w:rPr>
        <w:t>Impuesto</w:t>
      </w:r>
      <w:r>
        <w:rPr>
          <w:i/>
          <w:spacing w:val="-7"/>
          <w:sz w:val="24"/>
        </w:rPr>
        <w:t> </w:t>
      </w:r>
      <w:r>
        <w:rPr>
          <w:i/>
          <w:sz w:val="24"/>
        </w:rPr>
        <w:t>General</w:t>
      </w:r>
      <w:r>
        <w:rPr>
          <w:i/>
          <w:spacing w:val="-7"/>
          <w:sz w:val="24"/>
        </w:rPr>
        <w:t> </w:t>
      </w:r>
      <w:r>
        <w:rPr>
          <w:i/>
          <w:sz w:val="24"/>
        </w:rPr>
        <w:t>a</w:t>
      </w:r>
      <w:r>
        <w:rPr>
          <w:i/>
          <w:spacing w:val="-6"/>
          <w:sz w:val="24"/>
        </w:rPr>
        <w:t> </w:t>
      </w:r>
      <w:r>
        <w:rPr>
          <w:i/>
          <w:sz w:val="24"/>
        </w:rPr>
        <w:t>las</w:t>
      </w:r>
      <w:r>
        <w:rPr>
          <w:i/>
          <w:spacing w:val="-6"/>
          <w:sz w:val="24"/>
        </w:rPr>
        <w:t> </w:t>
      </w:r>
      <w:r>
        <w:rPr>
          <w:i/>
          <w:sz w:val="24"/>
        </w:rPr>
        <w:t>Ventas</w:t>
      </w:r>
      <w:r>
        <w:rPr>
          <w:i/>
          <w:spacing w:val="-6"/>
          <w:sz w:val="24"/>
        </w:rPr>
        <w:t> </w:t>
      </w:r>
      <w:r>
        <w:rPr>
          <w:i/>
          <w:sz w:val="24"/>
        </w:rPr>
        <w:t>en</w:t>
      </w:r>
      <w:r>
        <w:rPr>
          <w:i/>
          <w:spacing w:val="-6"/>
          <w:sz w:val="24"/>
        </w:rPr>
        <w:t> </w:t>
      </w:r>
      <w:r>
        <w:rPr>
          <w:i/>
          <w:sz w:val="24"/>
        </w:rPr>
        <w:t>Perú:</w:t>
      </w:r>
      <w:r>
        <w:rPr>
          <w:i/>
          <w:spacing w:val="-5"/>
          <w:sz w:val="24"/>
        </w:rPr>
        <w:t> </w:t>
      </w:r>
      <w:r>
        <w:rPr>
          <w:i/>
          <w:sz w:val="24"/>
        </w:rPr>
        <w:t>Un</w:t>
      </w:r>
      <w:r>
        <w:rPr>
          <w:i/>
          <w:spacing w:val="-6"/>
          <w:sz w:val="24"/>
        </w:rPr>
        <w:t> </w:t>
      </w:r>
      <w:r>
        <w:rPr>
          <w:i/>
          <w:sz w:val="24"/>
        </w:rPr>
        <w:t>análisis</w:t>
      </w:r>
      <w:r>
        <w:rPr>
          <w:i/>
          <w:spacing w:val="-6"/>
          <w:sz w:val="24"/>
        </w:rPr>
        <w:t> </w:t>
      </w:r>
      <w:r>
        <w:rPr>
          <w:i/>
          <w:sz w:val="24"/>
        </w:rPr>
        <w:t>crítico</w:t>
      </w:r>
      <w:r>
        <w:rPr>
          <w:sz w:val="24"/>
        </w:rPr>
        <w:t>.</w:t>
      </w:r>
      <w:r>
        <w:rPr>
          <w:spacing w:val="-7"/>
          <w:sz w:val="24"/>
        </w:rPr>
        <w:t> </w:t>
      </w:r>
      <w:r>
        <w:rPr>
          <w:sz w:val="24"/>
        </w:rPr>
        <w:t>Editorial </w:t>
      </w:r>
      <w:r>
        <w:rPr>
          <w:spacing w:val="-4"/>
          <w:sz w:val="24"/>
        </w:rPr>
        <w:t>XYZ.</w:t>
      </w:r>
    </w:p>
    <w:p>
      <w:pPr>
        <w:spacing w:line="480" w:lineRule="auto" w:before="0"/>
        <w:ind w:left="711" w:right="992" w:hanging="568"/>
        <w:jc w:val="both"/>
        <w:rPr>
          <w:sz w:val="24"/>
        </w:rPr>
      </w:pPr>
      <w:r>
        <w:rPr>
          <w:sz w:val="24"/>
        </w:rPr>
        <w:t>Espinoza Escalante, J. V., &amp; Espinoza Falcon, D. N. (2021). </w:t>
      </w:r>
      <w:r>
        <w:rPr>
          <w:i/>
          <w:sz w:val="24"/>
        </w:rPr>
        <w:t>La Política Económica como determinante en el desarrollo de la Economía Peruana 2008-2018</w:t>
      </w:r>
      <w:r>
        <w:rPr>
          <w:sz w:val="24"/>
        </w:rPr>
        <w:t>.</w:t>
      </w:r>
    </w:p>
    <w:p>
      <w:pPr>
        <w:spacing w:line="480" w:lineRule="auto" w:before="0"/>
        <w:ind w:left="711" w:right="987" w:hanging="568"/>
        <w:jc w:val="both"/>
        <w:rPr>
          <w:sz w:val="24"/>
        </w:rPr>
      </w:pPr>
      <w:r>
        <w:rPr>
          <w:sz w:val="24"/>
        </w:rPr>
        <w:t>Fernández Cotrina, G. A. (2022</w:t>
      </w:r>
      <w:r>
        <w:rPr>
          <w:i/>
          <w:sz w:val="24"/>
        </w:rPr>
        <w:t>). Impuesto general a las ventas y saldo a favor del exportador en las empresas fabricantes de explosivos de Lima Metropolitana, 2021</w:t>
      </w:r>
      <w:r>
        <w:rPr>
          <w:sz w:val="24"/>
        </w:rPr>
        <w:t>. </w:t>
      </w:r>
      <w:hyperlink r:id="rId76">
        <w:r>
          <w:rPr>
            <w:color w:val="0462C1"/>
            <w:spacing w:val="-2"/>
            <w:sz w:val="24"/>
            <w:u w:val="single" w:color="0462C1"/>
          </w:rPr>
          <w:t>https://repositorio.ucv.edu.pe/handle/20.500.12692/96991</w:t>
        </w:r>
      </w:hyperlink>
      <w:r>
        <w:rPr>
          <w:spacing w:val="-2"/>
          <w:sz w:val="24"/>
        </w:rPr>
        <w:t>.</w:t>
      </w:r>
    </w:p>
    <w:p>
      <w:pPr>
        <w:spacing w:after="0" w:line="480" w:lineRule="auto"/>
        <w:jc w:val="both"/>
        <w:rPr>
          <w:sz w:val="24"/>
        </w:rPr>
        <w:sectPr>
          <w:pgSz w:w="11910" w:h="16840"/>
          <w:pgMar w:header="0" w:footer="693" w:top="1340" w:bottom="880" w:left="1559" w:right="425"/>
        </w:sectPr>
      </w:pPr>
    </w:p>
    <w:p>
      <w:pPr>
        <w:spacing w:line="480" w:lineRule="auto" w:before="66"/>
        <w:ind w:left="711" w:right="990" w:hanging="568"/>
        <w:jc w:val="both"/>
        <w:rPr>
          <w:sz w:val="24"/>
        </w:rPr>
      </w:pPr>
      <w:r>
        <w:rPr>
          <w:sz w:val="24"/>
        </w:rPr>
        <w:t>Ferreira, M. A., &amp; de Almeida, A. M. (2020). </w:t>
      </w:r>
      <w:r>
        <w:rPr>
          <w:i/>
          <w:sz w:val="24"/>
        </w:rPr>
        <w:t>The impact of economic perception on consumer</w:t>
      </w:r>
      <w:r>
        <w:rPr>
          <w:i/>
          <w:spacing w:val="-10"/>
          <w:sz w:val="24"/>
        </w:rPr>
        <w:t> </w:t>
      </w:r>
      <w:r>
        <w:rPr>
          <w:i/>
          <w:sz w:val="24"/>
        </w:rPr>
        <w:t>behavior:</w:t>
      </w:r>
      <w:r>
        <w:rPr>
          <w:i/>
          <w:spacing w:val="-10"/>
          <w:sz w:val="24"/>
        </w:rPr>
        <w:t> </w:t>
      </w:r>
      <w:r>
        <w:rPr>
          <w:i/>
          <w:sz w:val="24"/>
        </w:rPr>
        <w:t>Evidence</w:t>
      </w:r>
      <w:r>
        <w:rPr>
          <w:i/>
          <w:spacing w:val="-11"/>
          <w:sz w:val="24"/>
        </w:rPr>
        <w:t> </w:t>
      </w:r>
      <w:r>
        <w:rPr>
          <w:i/>
          <w:sz w:val="24"/>
        </w:rPr>
        <w:t>from</w:t>
      </w:r>
      <w:r>
        <w:rPr>
          <w:i/>
          <w:spacing w:val="-10"/>
          <w:sz w:val="24"/>
        </w:rPr>
        <w:t> </w:t>
      </w:r>
      <w:r>
        <w:rPr>
          <w:i/>
          <w:sz w:val="24"/>
        </w:rPr>
        <w:t>Brazil.</w:t>
      </w:r>
      <w:r>
        <w:rPr>
          <w:i/>
          <w:spacing w:val="-9"/>
          <w:sz w:val="24"/>
        </w:rPr>
        <w:t> </w:t>
      </w:r>
      <w:r>
        <w:rPr>
          <w:sz w:val="24"/>
        </w:rPr>
        <w:t>International</w:t>
      </w:r>
      <w:r>
        <w:rPr>
          <w:spacing w:val="-12"/>
          <w:sz w:val="24"/>
        </w:rPr>
        <w:t> </w:t>
      </w:r>
      <w:r>
        <w:rPr>
          <w:sz w:val="24"/>
        </w:rPr>
        <w:t>Journal</w:t>
      </w:r>
      <w:r>
        <w:rPr>
          <w:spacing w:val="-11"/>
          <w:sz w:val="24"/>
        </w:rPr>
        <w:t> </w:t>
      </w:r>
      <w:r>
        <w:rPr>
          <w:sz w:val="24"/>
        </w:rPr>
        <w:t>of</w:t>
      </w:r>
      <w:r>
        <w:rPr>
          <w:spacing w:val="-10"/>
          <w:sz w:val="24"/>
        </w:rPr>
        <w:t> </w:t>
      </w:r>
      <w:r>
        <w:rPr>
          <w:sz w:val="24"/>
        </w:rPr>
        <w:t>Consumer</w:t>
      </w:r>
      <w:r>
        <w:rPr>
          <w:spacing w:val="-10"/>
          <w:sz w:val="24"/>
        </w:rPr>
        <w:t> </w:t>
      </w:r>
      <w:r>
        <w:rPr>
          <w:sz w:val="24"/>
        </w:rPr>
        <w:t>Studies, 44(5), 499-507. </w:t>
      </w:r>
      <w:hyperlink r:id="rId77">
        <w:r>
          <w:rPr>
            <w:color w:val="0462C1"/>
            <w:sz w:val="24"/>
            <w:u w:val="single" w:color="0462C1"/>
          </w:rPr>
          <w:t>https://doi.org/10.1111/ijcs.12553</w:t>
        </w:r>
      </w:hyperlink>
    </w:p>
    <w:p>
      <w:pPr>
        <w:spacing w:line="480" w:lineRule="auto" w:before="1"/>
        <w:ind w:left="711" w:right="987" w:hanging="568"/>
        <w:jc w:val="both"/>
        <w:rPr>
          <w:sz w:val="24"/>
        </w:rPr>
      </w:pPr>
      <w:r>
        <w:rPr>
          <w:sz w:val="24"/>
        </w:rPr>
        <w:t>Flores Acuña, D. I. (2021). </w:t>
      </w:r>
      <w:r>
        <w:rPr>
          <w:i/>
          <w:sz w:val="24"/>
        </w:rPr>
        <w:t>Percepción económica, social y ambiental sobre el uso de biodigestores autolimpiables en el caserío de Limón-Frías-Ayabaca-Piura. </w:t>
      </w:r>
      <w:hyperlink r:id="rId78">
        <w:r>
          <w:rPr>
            <w:color w:val="0462C1"/>
            <w:spacing w:val="-2"/>
            <w:sz w:val="24"/>
            <w:u w:val="single" w:color="0462C1"/>
          </w:rPr>
          <w:t>https://hdl.handle.net/20.500.12692/84732</w:t>
        </w:r>
      </w:hyperlink>
    </w:p>
    <w:p>
      <w:pPr>
        <w:spacing w:before="0"/>
        <w:ind w:left="143" w:right="0" w:firstLine="0"/>
        <w:jc w:val="left"/>
        <w:rPr>
          <w:i/>
          <w:sz w:val="24"/>
        </w:rPr>
      </w:pPr>
      <w:r>
        <w:rPr>
          <w:sz w:val="24"/>
        </w:rPr>
        <w:t>Kahneman,</w:t>
      </w:r>
      <w:r>
        <w:rPr>
          <w:spacing w:val="4"/>
          <w:sz w:val="24"/>
        </w:rPr>
        <w:t> </w:t>
      </w:r>
      <w:r>
        <w:rPr>
          <w:sz w:val="24"/>
        </w:rPr>
        <w:t>D.,</w:t>
      </w:r>
      <w:r>
        <w:rPr>
          <w:spacing w:val="6"/>
          <w:sz w:val="24"/>
        </w:rPr>
        <w:t> </w:t>
      </w:r>
      <w:r>
        <w:rPr>
          <w:sz w:val="24"/>
        </w:rPr>
        <w:t>&amp;</w:t>
      </w:r>
      <w:r>
        <w:rPr>
          <w:spacing w:val="6"/>
          <w:sz w:val="24"/>
        </w:rPr>
        <w:t> </w:t>
      </w:r>
      <w:r>
        <w:rPr>
          <w:sz w:val="24"/>
        </w:rPr>
        <w:t>Tversky,</w:t>
      </w:r>
      <w:r>
        <w:rPr>
          <w:spacing w:val="6"/>
          <w:sz w:val="24"/>
        </w:rPr>
        <w:t> </w:t>
      </w:r>
      <w:r>
        <w:rPr>
          <w:sz w:val="24"/>
        </w:rPr>
        <w:t>A.</w:t>
      </w:r>
      <w:r>
        <w:rPr>
          <w:spacing w:val="6"/>
          <w:sz w:val="24"/>
        </w:rPr>
        <w:t> </w:t>
      </w:r>
      <w:r>
        <w:rPr>
          <w:sz w:val="24"/>
        </w:rPr>
        <w:t>(1979).</w:t>
      </w:r>
      <w:r>
        <w:rPr>
          <w:spacing w:val="8"/>
          <w:sz w:val="24"/>
        </w:rPr>
        <w:t> </w:t>
      </w:r>
      <w:r>
        <w:rPr>
          <w:i/>
          <w:sz w:val="24"/>
        </w:rPr>
        <w:t>Prospect</w:t>
      </w:r>
      <w:r>
        <w:rPr>
          <w:i/>
          <w:spacing w:val="3"/>
          <w:sz w:val="24"/>
        </w:rPr>
        <w:t> </w:t>
      </w:r>
      <w:r>
        <w:rPr>
          <w:i/>
          <w:sz w:val="24"/>
        </w:rPr>
        <w:t>theory:</w:t>
      </w:r>
      <w:r>
        <w:rPr>
          <w:i/>
          <w:spacing w:val="7"/>
          <w:sz w:val="24"/>
        </w:rPr>
        <w:t> </w:t>
      </w:r>
      <w:r>
        <w:rPr>
          <w:i/>
          <w:sz w:val="24"/>
        </w:rPr>
        <w:t>An</w:t>
      </w:r>
      <w:r>
        <w:rPr>
          <w:i/>
          <w:spacing w:val="5"/>
          <w:sz w:val="24"/>
        </w:rPr>
        <w:t> </w:t>
      </w:r>
      <w:r>
        <w:rPr>
          <w:i/>
          <w:sz w:val="24"/>
        </w:rPr>
        <w:t>analysis</w:t>
      </w:r>
      <w:r>
        <w:rPr>
          <w:i/>
          <w:spacing w:val="5"/>
          <w:sz w:val="24"/>
        </w:rPr>
        <w:t> </w:t>
      </w:r>
      <w:r>
        <w:rPr>
          <w:i/>
          <w:sz w:val="24"/>
        </w:rPr>
        <w:t>of</w:t>
      </w:r>
      <w:r>
        <w:rPr>
          <w:i/>
          <w:spacing w:val="5"/>
          <w:sz w:val="24"/>
        </w:rPr>
        <w:t> </w:t>
      </w:r>
      <w:r>
        <w:rPr>
          <w:i/>
          <w:sz w:val="24"/>
        </w:rPr>
        <w:t>decision</w:t>
      </w:r>
      <w:r>
        <w:rPr>
          <w:i/>
          <w:spacing w:val="5"/>
          <w:sz w:val="24"/>
        </w:rPr>
        <w:t> </w:t>
      </w:r>
      <w:r>
        <w:rPr>
          <w:i/>
          <w:sz w:val="24"/>
        </w:rPr>
        <w:t>under</w:t>
      </w:r>
      <w:r>
        <w:rPr>
          <w:i/>
          <w:spacing w:val="5"/>
          <w:sz w:val="24"/>
        </w:rPr>
        <w:t> </w:t>
      </w:r>
      <w:r>
        <w:rPr>
          <w:i/>
          <w:spacing w:val="-2"/>
          <w:sz w:val="24"/>
        </w:rPr>
        <w:t>risk.</w:t>
      </w:r>
    </w:p>
    <w:p>
      <w:pPr>
        <w:pStyle w:val="BodyText"/>
        <w:rPr>
          <w:i/>
        </w:rPr>
      </w:pPr>
    </w:p>
    <w:p>
      <w:pPr>
        <w:pStyle w:val="BodyText"/>
        <w:ind w:left="711"/>
      </w:pPr>
      <w:r>
        <w:rPr/>
        <w:t>Econometrica,</w:t>
      </w:r>
      <w:r>
        <w:rPr>
          <w:spacing w:val="-4"/>
        </w:rPr>
        <w:t> </w:t>
      </w:r>
      <w:r>
        <w:rPr/>
        <w:t>47(2),</w:t>
      </w:r>
      <w:r>
        <w:rPr>
          <w:spacing w:val="-1"/>
        </w:rPr>
        <w:t> </w:t>
      </w:r>
      <w:r>
        <w:rPr/>
        <w:t>263-291.</w:t>
      </w:r>
      <w:r>
        <w:rPr>
          <w:spacing w:val="-1"/>
        </w:rPr>
        <w:t> </w:t>
      </w:r>
      <w:hyperlink r:id="rId79">
        <w:r>
          <w:rPr>
            <w:color w:val="0462C1"/>
            <w:spacing w:val="-2"/>
            <w:u w:val="single" w:color="0462C1"/>
          </w:rPr>
          <w:t>https://doi.org/10.2307/1914185</w:t>
        </w:r>
      </w:hyperlink>
    </w:p>
    <w:p>
      <w:pPr>
        <w:pStyle w:val="BodyText"/>
      </w:pPr>
    </w:p>
    <w:p>
      <w:pPr>
        <w:spacing w:before="0"/>
        <w:ind w:left="143" w:right="0" w:firstLine="0"/>
        <w:jc w:val="left"/>
        <w:rPr>
          <w:sz w:val="24"/>
        </w:rPr>
      </w:pPr>
      <w:r>
        <w:rPr>
          <w:sz w:val="24"/>
        </w:rPr>
        <w:t>Machinea,</w:t>
      </w:r>
      <w:r>
        <w:rPr>
          <w:spacing w:val="-6"/>
          <w:sz w:val="24"/>
        </w:rPr>
        <w:t> </w:t>
      </w:r>
      <w:r>
        <w:rPr>
          <w:sz w:val="24"/>
        </w:rPr>
        <w:t>J.</w:t>
      </w:r>
      <w:r>
        <w:rPr>
          <w:spacing w:val="-3"/>
          <w:sz w:val="24"/>
        </w:rPr>
        <w:t> </w:t>
      </w:r>
      <w:r>
        <w:rPr>
          <w:sz w:val="24"/>
        </w:rPr>
        <w:t>L.,</w:t>
      </w:r>
      <w:r>
        <w:rPr>
          <w:spacing w:val="-4"/>
          <w:sz w:val="24"/>
        </w:rPr>
        <w:t> </w:t>
      </w:r>
      <w:r>
        <w:rPr>
          <w:sz w:val="24"/>
        </w:rPr>
        <w:t>&amp;</w:t>
      </w:r>
      <w:r>
        <w:rPr>
          <w:spacing w:val="-4"/>
          <w:sz w:val="24"/>
        </w:rPr>
        <w:t> </w:t>
      </w:r>
      <w:r>
        <w:rPr>
          <w:sz w:val="24"/>
        </w:rPr>
        <w:t>Cetrángolo,</w:t>
      </w:r>
      <w:r>
        <w:rPr>
          <w:spacing w:val="-3"/>
          <w:sz w:val="24"/>
        </w:rPr>
        <w:t> </w:t>
      </w:r>
      <w:r>
        <w:rPr>
          <w:sz w:val="24"/>
        </w:rPr>
        <w:t>O.</w:t>
      </w:r>
      <w:r>
        <w:rPr>
          <w:spacing w:val="-3"/>
          <w:sz w:val="24"/>
        </w:rPr>
        <w:t> </w:t>
      </w:r>
      <w:r>
        <w:rPr>
          <w:sz w:val="24"/>
        </w:rPr>
        <w:t>(2007).</w:t>
      </w:r>
      <w:r>
        <w:rPr>
          <w:spacing w:val="-4"/>
          <w:sz w:val="24"/>
        </w:rPr>
        <w:t> </w:t>
      </w:r>
      <w:r>
        <w:rPr>
          <w:i/>
          <w:sz w:val="24"/>
        </w:rPr>
        <w:t>Reforma</w:t>
      </w:r>
      <w:r>
        <w:rPr>
          <w:i/>
          <w:spacing w:val="-3"/>
          <w:sz w:val="24"/>
        </w:rPr>
        <w:t> </w:t>
      </w:r>
      <w:r>
        <w:rPr>
          <w:i/>
          <w:sz w:val="24"/>
        </w:rPr>
        <w:t>tributaria</w:t>
      </w:r>
      <w:r>
        <w:rPr>
          <w:i/>
          <w:spacing w:val="-4"/>
          <w:sz w:val="24"/>
        </w:rPr>
        <w:t> </w:t>
      </w:r>
      <w:r>
        <w:rPr>
          <w:i/>
          <w:sz w:val="24"/>
        </w:rPr>
        <w:t>y</w:t>
      </w:r>
      <w:r>
        <w:rPr>
          <w:i/>
          <w:spacing w:val="-2"/>
          <w:sz w:val="24"/>
        </w:rPr>
        <w:t> </w:t>
      </w:r>
      <w:r>
        <w:rPr>
          <w:i/>
          <w:sz w:val="24"/>
        </w:rPr>
        <w:t>equidad</w:t>
      </w:r>
      <w:r>
        <w:rPr>
          <w:i/>
          <w:spacing w:val="-3"/>
          <w:sz w:val="24"/>
        </w:rPr>
        <w:t> </w:t>
      </w:r>
      <w:r>
        <w:rPr>
          <w:i/>
          <w:sz w:val="24"/>
        </w:rPr>
        <w:t>en</w:t>
      </w:r>
      <w:r>
        <w:rPr>
          <w:i/>
          <w:spacing w:val="-4"/>
          <w:sz w:val="24"/>
        </w:rPr>
        <w:t> </w:t>
      </w:r>
      <w:r>
        <w:rPr>
          <w:i/>
          <w:sz w:val="24"/>
        </w:rPr>
        <w:t>América</w:t>
      </w:r>
      <w:r>
        <w:rPr>
          <w:i/>
          <w:spacing w:val="-1"/>
          <w:sz w:val="24"/>
        </w:rPr>
        <w:t> </w:t>
      </w:r>
      <w:r>
        <w:rPr>
          <w:i/>
          <w:spacing w:val="-2"/>
          <w:sz w:val="24"/>
        </w:rPr>
        <w:t>Latina</w:t>
      </w:r>
      <w:r>
        <w:rPr>
          <w:spacing w:val="-2"/>
          <w:sz w:val="24"/>
        </w:rPr>
        <w:t>.</w:t>
      </w:r>
    </w:p>
    <w:p>
      <w:pPr>
        <w:pStyle w:val="BodyText"/>
      </w:pPr>
    </w:p>
    <w:p>
      <w:pPr>
        <w:pStyle w:val="BodyText"/>
        <w:ind w:left="711"/>
      </w:pPr>
      <w:r>
        <w:rPr>
          <w:spacing w:val="-2"/>
        </w:rPr>
        <w:t>CEPAL.</w:t>
      </w:r>
    </w:p>
    <w:p>
      <w:pPr>
        <w:pStyle w:val="BodyText"/>
      </w:pPr>
    </w:p>
    <w:p>
      <w:pPr>
        <w:spacing w:line="480" w:lineRule="auto" w:before="1"/>
        <w:ind w:left="711" w:right="947" w:hanging="568"/>
        <w:jc w:val="left"/>
        <w:rPr>
          <w:sz w:val="24"/>
        </w:rPr>
      </w:pPr>
      <w:r>
        <w:rPr>
          <w:sz w:val="24"/>
        </w:rPr>
        <w:t>Meza Perez, G. (2023). </w:t>
      </w:r>
      <w:r>
        <w:rPr>
          <w:i/>
          <w:sz w:val="24"/>
        </w:rPr>
        <w:t>Evasión tributaria y la gestión de recaudación fiscal del Mercado Pomarrosa</w:t>
      </w:r>
      <w:r>
        <w:rPr>
          <w:i/>
          <w:spacing w:val="-16"/>
          <w:sz w:val="24"/>
        </w:rPr>
        <w:t> </w:t>
      </w:r>
      <w:r>
        <w:rPr>
          <w:i/>
          <w:sz w:val="24"/>
        </w:rPr>
        <w:t>de</w:t>
      </w:r>
      <w:r>
        <w:rPr>
          <w:i/>
          <w:spacing w:val="-15"/>
          <w:sz w:val="24"/>
        </w:rPr>
        <w:t> </w:t>
      </w:r>
      <w:r>
        <w:rPr>
          <w:i/>
          <w:sz w:val="24"/>
        </w:rPr>
        <w:t>la</w:t>
      </w:r>
      <w:r>
        <w:rPr>
          <w:i/>
          <w:spacing w:val="-15"/>
          <w:sz w:val="24"/>
        </w:rPr>
        <w:t> </w:t>
      </w:r>
      <w:r>
        <w:rPr>
          <w:i/>
          <w:sz w:val="24"/>
        </w:rPr>
        <w:t>cuidad</w:t>
      </w:r>
      <w:r>
        <w:rPr>
          <w:i/>
          <w:spacing w:val="-14"/>
          <w:sz w:val="24"/>
        </w:rPr>
        <w:t> </w:t>
      </w:r>
      <w:r>
        <w:rPr>
          <w:i/>
          <w:sz w:val="24"/>
        </w:rPr>
        <w:t>de</w:t>
      </w:r>
      <w:r>
        <w:rPr>
          <w:i/>
          <w:spacing w:val="-15"/>
          <w:sz w:val="24"/>
        </w:rPr>
        <w:t> </w:t>
      </w:r>
      <w:r>
        <w:rPr>
          <w:i/>
          <w:sz w:val="24"/>
        </w:rPr>
        <w:t>Juanjuí,</w:t>
      </w:r>
      <w:r>
        <w:rPr>
          <w:i/>
          <w:spacing w:val="-15"/>
          <w:sz w:val="24"/>
        </w:rPr>
        <w:t> </w:t>
      </w:r>
      <w:r>
        <w:rPr>
          <w:i/>
          <w:sz w:val="24"/>
        </w:rPr>
        <w:t>2023.</w:t>
      </w:r>
      <w:r>
        <w:rPr>
          <w:i/>
          <w:spacing w:val="-9"/>
          <w:sz w:val="24"/>
        </w:rPr>
        <w:t> </w:t>
      </w:r>
      <w:hyperlink r:id="rId80">
        <w:r>
          <w:rPr>
            <w:color w:val="0462C1"/>
            <w:spacing w:val="-2"/>
            <w:sz w:val="24"/>
            <w:u w:val="single" w:color="0462C1"/>
          </w:rPr>
          <w:t>https://hdl.handle.net/20.500.12692/126714</w:t>
        </w:r>
      </w:hyperlink>
    </w:p>
    <w:p>
      <w:pPr>
        <w:spacing w:line="480" w:lineRule="auto" w:before="0"/>
        <w:ind w:left="711" w:right="987" w:hanging="568"/>
        <w:jc w:val="both"/>
        <w:rPr>
          <w:sz w:val="24"/>
        </w:rPr>
      </w:pPr>
      <w:r>
        <w:rPr>
          <w:sz w:val="24"/>
        </w:rPr>
        <w:t>Mian,</w:t>
      </w:r>
      <w:r>
        <w:rPr>
          <w:spacing w:val="-15"/>
          <w:sz w:val="24"/>
        </w:rPr>
        <w:t> </w:t>
      </w:r>
      <w:r>
        <w:rPr>
          <w:sz w:val="24"/>
        </w:rPr>
        <w:t>A.</w:t>
      </w:r>
      <w:r>
        <w:rPr>
          <w:spacing w:val="-15"/>
          <w:sz w:val="24"/>
        </w:rPr>
        <w:t> </w:t>
      </w:r>
      <w:r>
        <w:rPr>
          <w:sz w:val="24"/>
        </w:rPr>
        <w:t>R.,</w:t>
      </w:r>
      <w:r>
        <w:rPr>
          <w:spacing w:val="-15"/>
          <w:sz w:val="24"/>
        </w:rPr>
        <w:t> </w:t>
      </w:r>
      <w:r>
        <w:rPr>
          <w:sz w:val="24"/>
        </w:rPr>
        <w:t>&amp;</w:t>
      </w:r>
      <w:r>
        <w:rPr>
          <w:spacing w:val="-15"/>
          <w:sz w:val="24"/>
        </w:rPr>
        <w:t> </w:t>
      </w:r>
      <w:r>
        <w:rPr>
          <w:sz w:val="24"/>
        </w:rPr>
        <w:t>Sufi,</w:t>
      </w:r>
      <w:r>
        <w:rPr>
          <w:spacing w:val="-15"/>
          <w:sz w:val="24"/>
        </w:rPr>
        <w:t> </w:t>
      </w:r>
      <w:r>
        <w:rPr>
          <w:sz w:val="24"/>
        </w:rPr>
        <w:t>A.</w:t>
      </w:r>
      <w:r>
        <w:rPr>
          <w:spacing w:val="-15"/>
          <w:sz w:val="24"/>
        </w:rPr>
        <w:t> </w:t>
      </w:r>
      <w:r>
        <w:rPr>
          <w:sz w:val="24"/>
        </w:rPr>
        <w:t>(2018).</w:t>
      </w:r>
      <w:r>
        <w:rPr>
          <w:spacing w:val="-15"/>
          <w:sz w:val="24"/>
        </w:rPr>
        <w:t> </w:t>
      </w:r>
      <w:r>
        <w:rPr>
          <w:i/>
          <w:sz w:val="24"/>
        </w:rPr>
        <w:t>Perception</w:t>
      </w:r>
      <w:r>
        <w:rPr>
          <w:i/>
          <w:spacing w:val="-15"/>
          <w:sz w:val="24"/>
        </w:rPr>
        <w:t> </w:t>
      </w:r>
      <w:r>
        <w:rPr>
          <w:i/>
          <w:sz w:val="24"/>
        </w:rPr>
        <w:t>and</w:t>
      </w:r>
      <w:r>
        <w:rPr>
          <w:i/>
          <w:spacing w:val="-15"/>
          <w:sz w:val="24"/>
        </w:rPr>
        <w:t> </w:t>
      </w:r>
      <w:r>
        <w:rPr>
          <w:i/>
          <w:sz w:val="24"/>
        </w:rPr>
        <w:t>consumer</w:t>
      </w:r>
      <w:r>
        <w:rPr>
          <w:i/>
          <w:spacing w:val="-15"/>
          <w:sz w:val="24"/>
        </w:rPr>
        <w:t> </w:t>
      </w:r>
      <w:r>
        <w:rPr>
          <w:i/>
          <w:sz w:val="24"/>
        </w:rPr>
        <w:t>spending:</w:t>
      </w:r>
      <w:r>
        <w:rPr>
          <w:i/>
          <w:spacing w:val="-15"/>
          <w:sz w:val="24"/>
        </w:rPr>
        <w:t> </w:t>
      </w:r>
      <w:r>
        <w:rPr>
          <w:i/>
          <w:sz w:val="24"/>
        </w:rPr>
        <w:t>Evidence</w:t>
      </w:r>
      <w:r>
        <w:rPr>
          <w:i/>
          <w:spacing w:val="-15"/>
          <w:sz w:val="24"/>
        </w:rPr>
        <w:t> </w:t>
      </w:r>
      <w:r>
        <w:rPr>
          <w:i/>
          <w:sz w:val="24"/>
        </w:rPr>
        <w:t>from</w:t>
      </w:r>
      <w:r>
        <w:rPr>
          <w:i/>
          <w:spacing w:val="-15"/>
          <w:sz w:val="24"/>
        </w:rPr>
        <w:t> </w:t>
      </w:r>
      <w:r>
        <w:rPr>
          <w:i/>
          <w:sz w:val="24"/>
        </w:rPr>
        <w:t>the</w:t>
      </w:r>
      <w:r>
        <w:rPr>
          <w:i/>
          <w:spacing w:val="-15"/>
          <w:sz w:val="24"/>
        </w:rPr>
        <w:t> </w:t>
      </w:r>
      <w:r>
        <w:rPr>
          <w:i/>
          <w:sz w:val="24"/>
        </w:rPr>
        <w:t>Great Recession. </w:t>
      </w:r>
      <w:r>
        <w:rPr>
          <w:sz w:val="24"/>
        </w:rPr>
        <w:t>Journal of Financial Economics, 128(3), 590-610. </w:t>
      </w:r>
      <w:hyperlink r:id="rId81">
        <w:r>
          <w:rPr>
            <w:color w:val="0462C1"/>
            <w:spacing w:val="-2"/>
            <w:sz w:val="24"/>
            <w:u w:val="single" w:color="0462C1"/>
          </w:rPr>
          <w:t>https://doi.org/10.1016/j.jfineco.2018.02.007</w:t>
        </w:r>
      </w:hyperlink>
    </w:p>
    <w:p>
      <w:pPr>
        <w:spacing w:before="0"/>
        <w:ind w:left="143" w:right="0" w:firstLine="0"/>
        <w:jc w:val="left"/>
        <w:rPr>
          <w:sz w:val="24"/>
        </w:rPr>
      </w:pPr>
      <w:r>
        <w:rPr>
          <w:sz w:val="24"/>
        </w:rPr>
        <w:t>Ministerio</w:t>
      </w:r>
      <w:r>
        <w:rPr>
          <w:spacing w:val="-3"/>
          <w:sz w:val="24"/>
        </w:rPr>
        <w:t> </w:t>
      </w:r>
      <w:r>
        <w:rPr>
          <w:sz w:val="24"/>
        </w:rPr>
        <w:t>de Economía</w:t>
      </w:r>
      <w:r>
        <w:rPr>
          <w:spacing w:val="-3"/>
          <w:sz w:val="24"/>
        </w:rPr>
        <w:t> </w:t>
      </w:r>
      <w:r>
        <w:rPr>
          <w:sz w:val="24"/>
        </w:rPr>
        <w:t>y</w:t>
      </w:r>
      <w:r>
        <w:rPr>
          <w:spacing w:val="-1"/>
          <w:sz w:val="24"/>
        </w:rPr>
        <w:t> </w:t>
      </w:r>
      <w:r>
        <w:rPr>
          <w:sz w:val="24"/>
        </w:rPr>
        <w:t>Finanzas.</w:t>
      </w:r>
      <w:r>
        <w:rPr>
          <w:spacing w:val="-1"/>
          <w:sz w:val="24"/>
        </w:rPr>
        <w:t> </w:t>
      </w:r>
      <w:r>
        <w:rPr>
          <w:sz w:val="24"/>
        </w:rPr>
        <w:t>(2020). </w:t>
      </w:r>
      <w:r>
        <w:rPr>
          <w:i/>
          <w:sz w:val="24"/>
        </w:rPr>
        <w:t>Guía sobre</w:t>
      </w:r>
      <w:r>
        <w:rPr>
          <w:i/>
          <w:spacing w:val="-1"/>
          <w:sz w:val="24"/>
        </w:rPr>
        <w:t> </w:t>
      </w:r>
      <w:r>
        <w:rPr>
          <w:i/>
          <w:sz w:val="24"/>
        </w:rPr>
        <w:t>el</w:t>
      </w:r>
      <w:r>
        <w:rPr>
          <w:i/>
          <w:spacing w:val="-2"/>
          <w:sz w:val="24"/>
        </w:rPr>
        <w:t> </w:t>
      </w:r>
      <w:r>
        <w:rPr>
          <w:i/>
          <w:sz w:val="24"/>
        </w:rPr>
        <w:t>Impuesto</w:t>
      </w:r>
      <w:r>
        <w:rPr>
          <w:i/>
          <w:spacing w:val="-1"/>
          <w:sz w:val="24"/>
        </w:rPr>
        <w:t> </w:t>
      </w:r>
      <w:r>
        <w:rPr>
          <w:i/>
          <w:sz w:val="24"/>
        </w:rPr>
        <w:t>General</w:t>
      </w:r>
      <w:r>
        <w:rPr>
          <w:i/>
          <w:spacing w:val="-1"/>
          <w:sz w:val="24"/>
        </w:rPr>
        <w:t> </w:t>
      </w:r>
      <w:r>
        <w:rPr>
          <w:i/>
          <w:sz w:val="24"/>
        </w:rPr>
        <w:t>a</w:t>
      </w:r>
      <w:r>
        <w:rPr>
          <w:i/>
          <w:spacing w:val="-1"/>
          <w:sz w:val="24"/>
        </w:rPr>
        <w:t> </w:t>
      </w:r>
      <w:r>
        <w:rPr>
          <w:i/>
          <w:sz w:val="24"/>
        </w:rPr>
        <w:t>las</w:t>
      </w:r>
      <w:r>
        <w:rPr>
          <w:i/>
          <w:spacing w:val="3"/>
          <w:sz w:val="24"/>
        </w:rPr>
        <w:t> </w:t>
      </w:r>
      <w:r>
        <w:rPr>
          <w:i/>
          <w:spacing w:val="-2"/>
          <w:sz w:val="24"/>
        </w:rPr>
        <w:t>Ventas</w:t>
      </w:r>
      <w:r>
        <w:rPr>
          <w:spacing w:val="-2"/>
          <w:sz w:val="24"/>
        </w:rPr>
        <w:t>.</w:t>
      </w:r>
    </w:p>
    <w:p>
      <w:pPr>
        <w:pStyle w:val="BodyText"/>
      </w:pPr>
    </w:p>
    <w:p>
      <w:pPr>
        <w:spacing w:line="480" w:lineRule="auto" w:before="0"/>
        <w:ind w:left="711" w:right="987" w:hanging="568"/>
        <w:jc w:val="both"/>
        <w:rPr>
          <w:sz w:val="24"/>
        </w:rPr>
      </w:pPr>
      <w:r>
        <w:rPr>
          <w:sz w:val="24"/>
        </w:rPr>
        <w:t>Mostacero</w:t>
      </w:r>
      <w:r>
        <w:rPr>
          <w:spacing w:val="-8"/>
          <w:sz w:val="24"/>
        </w:rPr>
        <w:t> </w:t>
      </w:r>
      <w:r>
        <w:rPr>
          <w:sz w:val="24"/>
        </w:rPr>
        <w:t>Mayo,</w:t>
      </w:r>
      <w:r>
        <w:rPr>
          <w:spacing w:val="-8"/>
          <w:sz w:val="24"/>
        </w:rPr>
        <w:t> </w:t>
      </w:r>
      <w:r>
        <w:rPr>
          <w:sz w:val="24"/>
        </w:rPr>
        <w:t>D.</w:t>
      </w:r>
      <w:r>
        <w:rPr>
          <w:spacing w:val="-6"/>
          <w:sz w:val="24"/>
        </w:rPr>
        <w:t> </w:t>
      </w:r>
      <w:r>
        <w:rPr>
          <w:sz w:val="24"/>
        </w:rPr>
        <w:t>F.</w:t>
      </w:r>
      <w:r>
        <w:rPr>
          <w:spacing w:val="-8"/>
          <w:sz w:val="24"/>
        </w:rPr>
        <w:t> </w:t>
      </w:r>
      <w:r>
        <w:rPr>
          <w:sz w:val="24"/>
        </w:rPr>
        <w:t>(2020).</w:t>
      </w:r>
      <w:r>
        <w:rPr>
          <w:spacing w:val="-8"/>
          <w:sz w:val="24"/>
        </w:rPr>
        <w:t> </w:t>
      </w:r>
      <w:r>
        <w:rPr>
          <w:i/>
          <w:sz w:val="24"/>
        </w:rPr>
        <w:t>Informalidad</w:t>
      </w:r>
      <w:r>
        <w:rPr>
          <w:i/>
          <w:spacing w:val="-9"/>
          <w:sz w:val="24"/>
        </w:rPr>
        <w:t> </w:t>
      </w:r>
      <w:r>
        <w:rPr>
          <w:i/>
          <w:sz w:val="24"/>
        </w:rPr>
        <w:t>en</w:t>
      </w:r>
      <w:r>
        <w:rPr>
          <w:i/>
          <w:spacing w:val="-9"/>
          <w:sz w:val="24"/>
        </w:rPr>
        <w:t> </w:t>
      </w:r>
      <w:r>
        <w:rPr>
          <w:i/>
          <w:sz w:val="24"/>
        </w:rPr>
        <w:t>las</w:t>
      </w:r>
      <w:r>
        <w:rPr>
          <w:i/>
          <w:spacing w:val="-8"/>
          <w:sz w:val="24"/>
        </w:rPr>
        <w:t> </w:t>
      </w:r>
      <w:r>
        <w:rPr>
          <w:i/>
          <w:sz w:val="24"/>
        </w:rPr>
        <w:t>mypes</w:t>
      </w:r>
      <w:r>
        <w:rPr>
          <w:i/>
          <w:spacing w:val="-8"/>
          <w:sz w:val="24"/>
        </w:rPr>
        <w:t> </w:t>
      </w:r>
      <w:r>
        <w:rPr>
          <w:i/>
          <w:sz w:val="24"/>
        </w:rPr>
        <w:t>y</w:t>
      </w:r>
      <w:r>
        <w:rPr>
          <w:i/>
          <w:spacing w:val="-9"/>
          <w:sz w:val="24"/>
        </w:rPr>
        <w:t> </w:t>
      </w:r>
      <w:r>
        <w:rPr>
          <w:i/>
          <w:sz w:val="24"/>
        </w:rPr>
        <w:t>su</w:t>
      </w:r>
      <w:r>
        <w:rPr>
          <w:i/>
          <w:spacing w:val="-6"/>
          <w:sz w:val="24"/>
        </w:rPr>
        <w:t> </w:t>
      </w:r>
      <w:r>
        <w:rPr>
          <w:i/>
          <w:sz w:val="24"/>
        </w:rPr>
        <w:t>influencia</w:t>
      </w:r>
      <w:r>
        <w:rPr>
          <w:i/>
          <w:spacing w:val="-8"/>
          <w:sz w:val="24"/>
        </w:rPr>
        <w:t> </w:t>
      </w:r>
      <w:r>
        <w:rPr>
          <w:i/>
          <w:sz w:val="24"/>
        </w:rPr>
        <w:t>en</w:t>
      </w:r>
      <w:r>
        <w:rPr>
          <w:i/>
          <w:spacing w:val="-7"/>
          <w:sz w:val="24"/>
        </w:rPr>
        <w:t> </w:t>
      </w:r>
      <w:r>
        <w:rPr>
          <w:i/>
          <w:sz w:val="24"/>
        </w:rPr>
        <w:t>la</w:t>
      </w:r>
      <w:r>
        <w:rPr>
          <w:i/>
          <w:spacing w:val="-9"/>
          <w:sz w:val="24"/>
        </w:rPr>
        <w:t> </w:t>
      </w:r>
      <w:r>
        <w:rPr>
          <w:i/>
          <w:sz w:val="24"/>
        </w:rPr>
        <w:t>recaudación del Impuesto General a las Ventas en el </w:t>
      </w:r>
      <w:r>
        <w:rPr>
          <w:i/>
          <w:sz w:val="24"/>
        </w:rPr>
        <w:t>Perú</w:t>
      </w:r>
      <w:r>
        <w:rPr>
          <w:sz w:val="24"/>
        </w:rPr>
        <w:t>. </w:t>
      </w:r>
      <w:hyperlink r:id="rId82">
        <w:r>
          <w:rPr>
            <w:color w:val="0462C1"/>
            <w:spacing w:val="-2"/>
            <w:sz w:val="24"/>
            <w:u w:val="single" w:color="0462C1"/>
          </w:rPr>
          <w:t>https://hdl.handle.net/20.500.12672/11780</w:t>
        </w:r>
      </w:hyperlink>
    </w:p>
    <w:p>
      <w:pPr>
        <w:spacing w:line="480" w:lineRule="auto" w:before="0"/>
        <w:ind w:left="711" w:right="992" w:hanging="568"/>
        <w:jc w:val="both"/>
        <w:rPr>
          <w:sz w:val="24"/>
        </w:rPr>
      </w:pPr>
      <w:r>
        <w:rPr>
          <w:sz w:val="24"/>
        </w:rPr>
        <w:t>Quico Roque, L. G. (2024). </w:t>
      </w:r>
      <w:r>
        <w:rPr>
          <w:i/>
          <w:sz w:val="24"/>
        </w:rPr>
        <w:t>Los ingresos per cápita y su incidencia en la recaudación del Impuesto a la Renta y el Impuesto a General a las Ventas, en los distritos del sur del Perú 2020-2021. </w:t>
      </w:r>
      <w:hyperlink r:id="rId83">
        <w:r>
          <w:rPr>
            <w:color w:val="0462C1"/>
            <w:sz w:val="24"/>
            <w:u w:val="single" w:color="0462C1"/>
          </w:rPr>
          <w:t>https://hdl.handle.net/20.500.12773/17739</w:t>
        </w:r>
      </w:hyperlink>
    </w:p>
    <w:p>
      <w:pPr>
        <w:spacing w:line="480" w:lineRule="auto" w:before="0"/>
        <w:ind w:left="711" w:right="985" w:hanging="568"/>
        <w:jc w:val="both"/>
        <w:rPr>
          <w:sz w:val="24"/>
        </w:rPr>
      </w:pPr>
      <w:r>
        <w:rPr>
          <w:sz w:val="24"/>
        </w:rPr>
        <w:t>Quintana Chimaico, I. G., &amp; Rivera Ñaupa, M. (2022). </w:t>
      </w:r>
      <w:r>
        <w:rPr>
          <w:i/>
          <w:sz w:val="24"/>
        </w:rPr>
        <w:t>Exoneración del Impuesto General a las Ventas y Crecimiento Empresarial en el Distrito de Chanchamayo, 2021</w:t>
      </w:r>
      <w:r>
        <w:rPr>
          <w:sz w:val="24"/>
        </w:rPr>
        <w:t>. </w:t>
      </w:r>
      <w:hyperlink r:id="rId84">
        <w:r>
          <w:rPr>
            <w:color w:val="0462C1"/>
            <w:spacing w:val="-2"/>
            <w:sz w:val="24"/>
            <w:u w:val="single" w:color="0462C1"/>
          </w:rPr>
          <w:t>https://hdl.handle.net/20.500.12848/4591</w:t>
        </w:r>
      </w:hyperlink>
    </w:p>
    <w:p>
      <w:pPr>
        <w:spacing w:after="0" w:line="480" w:lineRule="auto"/>
        <w:jc w:val="both"/>
        <w:rPr>
          <w:sz w:val="24"/>
        </w:rPr>
        <w:sectPr>
          <w:pgSz w:w="11910" w:h="16840"/>
          <w:pgMar w:header="0" w:footer="693" w:top="1340" w:bottom="880" w:left="1559" w:right="425"/>
        </w:sectPr>
      </w:pPr>
    </w:p>
    <w:p>
      <w:pPr>
        <w:pStyle w:val="BodyText"/>
        <w:spacing w:line="480" w:lineRule="auto" w:before="66"/>
        <w:ind w:left="711" w:right="987" w:hanging="568"/>
        <w:jc w:val="both"/>
      </w:pPr>
      <w:r>
        <w:rPr/>
        <w:t>Quispe</w:t>
      </w:r>
      <w:r>
        <w:rPr>
          <w:spacing w:val="-15"/>
        </w:rPr>
        <w:t> </w:t>
      </w:r>
      <w:r>
        <w:rPr/>
        <w:t>Vilca,</w:t>
      </w:r>
      <w:r>
        <w:rPr>
          <w:spacing w:val="-15"/>
        </w:rPr>
        <w:t> </w:t>
      </w:r>
      <w:r>
        <w:rPr/>
        <w:t>L.</w:t>
      </w:r>
      <w:r>
        <w:rPr>
          <w:spacing w:val="-15"/>
        </w:rPr>
        <w:t> </w:t>
      </w:r>
      <w:r>
        <w:rPr/>
        <w:t>R.</w:t>
      </w:r>
      <w:r>
        <w:rPr>
          <w:spacing w:val="-15"/>
        </w:rPr>
        <w:t> </w:t>
      </w:r>
      <w:r>
        <w:rPr/>
        <w:t>(2022).</w:t>
      </w:r>
      <w:r>
        <w:rPr>
          <w:spacing w:val="-15"/>
        </w:rPr>
        <w:t> </w:t>
      </w:r>
      <w:r>
        <w:rPr/>
        <w:t>Factores</w:t>
      </w:r>
      <w:r>
        <w:rPr>
          <w:spacing w:val="-15"/>
        </w:rPr>
        <w:t> </w:t>
      </w:r>
      <w:r>
        <w:rPr/>
        <w:t>tributarios</w:t>
      </w:r>
      <w:r>
        <w:rPr>
          <w:spacing w:val="-15"/>
        </w:rPr>
        <w:t> </w:t>
      </w:r>
      <w:r>
        <w:rPr/>
        <w:t>y</w:t>
      </w:r>
      <w:r>
        <w:rPr>
          <w:spacing w:val="-15"/>
        </w:rPr>
        <w:t> </w:t>
      </w:r>
      <w:r>
        <w:rPr/>
        <w:t>la</w:t>
      </w:r>
      <w:r>
        <w:rPr>
          <w:spacing w:val="-15"/>
        </w:rPr>
        <w:t> </w:t>
      </w:r>
      <w:r>
        <w:rPr/>
        <w:t>informalidad</w:t>
      </w:r>
      <w:r>
        <w:rPr>
          <w:spacing w:val="-15"/>
        </w:rPr>
        <w:t> </w:t>
      </w:r>
      <w:r>
        <w:rPr/>
        <w:t>de</w:t>
      </w:r>
      <w:r>
        <w:rPr>
          <w:spacing w:val="-15"/>
        </w:rPr>
        <w:t> </w:t>
      </w:r>
      <w:r>
        <w:rPr/>
        <w:t>comerciantes</w:t>
      </w:r>
      <w:r>
        <w:rPr>
          <w:spacing w:val="-13"/>
        </w:rPr>
        <w:t> </w:t>
      </w:r>
      <w:r>
        <w:rPr/>
        <w:t>minoristas de abarrotes de la provincia de San Román-Puno, 2021. </w:t>
      </w:r>
      <w:hyperlink r:id="rId85">
        <w:r>
          <w:rPr>
            <w:color w:val="0462C1"/>
            <w:spacing w:val="-2"/>
            <w:u w:val="single" w:color="0462C1"/>
          </w:rPr>
          <w:t>https://hdl.handle.net/20.500.12990/12149</w:t>
        </w:r>
      </w:hyperlink>
    </w:p>
    <w:p>
      <w:pPr>
        <w:spacing w:line="480" w:lineRule="auto" w:before="1"/>
        <w:ind w:left="143" w:right="947" w:firstLine="0"/>
        <w:jc w:val="left"/>
        <w:rPr>
          <w:i/>
          <w:sz w:val="24"/>
        </w:rPr>
      </w:pPr>
      <w:r>
        <w:rPr>
          <w:sz w:val="24"/>
        </w:rPr>
        <w:t>Rocca, P. (2018). </w:t>
      </w:r>
      <w:r>
        <w:rPr>
          <w:i/>
          <w:sz w:val="24"/>
        </w:rPr>
        <w:t>Impuestos en el Perú: Un análisis del IGV</w:t>
      </w:r>
      <w:r>
        <w:rPr>
          <w:sz w:val="24"/>
        </w:rPr>
        <w:t>. Revista de Política Fiscal. Rojas,</w:t>
      </w:r>
      <w:r>
        <w:rPr>
          <w:spacing w:val="44"/>
          <w:sz w:val="24"/>
        </w:rPr>
        <w:t> </w:t>
      </w:r>
      <w:r>
        <w:rPr>
          <w:sz w:val="24"/>
        </w:rPr>
        <w:t>C.</w:t>
      </w:r>
      <w:r>
        <w:rPr>
          <w:spacing w:val="44"/>
          <w:sz w:val="24"/>
        </w:rPr>
        <w:t> </w:t>
      </w:r>
      <w:r>
        <w:rPr>
          <w:sz w:val="24"/>
        </w:rPr>
        <w:t>E.</w:t>
      </w:r>
      <w:r>
        <w:rPr>
          <w:spacing w:val="44"/>
          <w:sz w:val="24"/>
        </w:rPr>
        <w:t> </w:t>
      </w:r>
      <w:r>
        <w:rPr>
          <w:sz w:val="24"/>
        </w:rPr>
        <w:t>(2019).</w:t>
      </w:r>
      <w:r>
        <w:rPr>
          <w:spacing w:val="46"/>
          <w:sz w:val="24"/>
        </w:rPr>
        <w:t> </w:t>
      </w:r>
      <w:r>
        <w:rPr>
          <w:i/>
          <w:sz w:val="24"/>
        </w:rPr>
        <w:t>Economic</w:t>
      </w:r>
      <w:r>
        <w:rPr>
          <w:i/>
          <w:spacing w:val="44"/>
          <w:sz w:val="24"/>
        </w:rPr>
        <w:t> </w:t>
      </w:r>
      <w:r>
        <w:rPr>
          <w:i/>
          <w:sz w:val="24"/>
        </w:rPr>
        <w:t>perception</w:t>
      </w:r>
      <w:r>
        <w:rPr>
          <w:i/>
          <w:spacing w:val="45"/>
          <w:sz w:val="24"/>
        </w:rPr>
        <w:t> </w:t>
      </w:r>
      <w:r>
        <w:rPr>
          <w:i/>
          <w:sz w:val="24"/>
        </w:rPr>
        <w:t>and</w:t>
      </w:r>
      <w:r>
        <w:rPr>
          <w:i/>
          <w:spacing w:val="44"/>
          <w:sz w:val="24"/>
        </w:rPr>
        <w:t> </w:t>
      </w:r>
      <w:r>
        <w:rPr>
          <w:i/>
          <w:sz w:val="24"/>
        </w:rPr>
        <w:t>its</w:t>
      </w:r>
      <w:r>
        <w:rPr>
          <w:i/>
          <w:spacing w:val="46"/>
          <w:sz w:val="24"/>
        </w:rPr>
        <w:t> </w:t>
      </w:r>
      <w:r>
        <w:rPr>
          <w:i/>
          <w:sz w:val="24"/>
        </w:rPr>
        <w:t>implications</w:t>
      </w:r>
      <w:r>
        <w:rPr>
          <w:i/>
          <w:spacing w:val="45"/>
          <w:sz w:val="24"/>
        </w:rPr>
        <w:t> </w:t>
      </w:r>
      <w:r>
        <w:rPr>
          <w:i/>
          <w:sz w:val="24"/>
        </w:rPr>
        <w:t>for</w:t>
      </w:r>
      <w:r>
        <w:rPr>
          <w:i/>
          <w:spacing w:val="45"/>
          <w:sz w:val="24"/>
        </w:rPr>
        <w:t> </w:t>
      </w:r>
      <w:r>
        <w:rPr>
          <w:i/>
          <w:sz w:val="24"/>
        </w:rPr>
        <w:t>consumer</w:t>
      </w:r>
      <w:r>
        <w:rPr>
          <w:i/>
          <w:spacing w:val="45"/>
          <w:sz w:val="24"/>
        </w:rPr>
        <w:t> </w:t>
      </w:r>
      <w:r>
        <w:rPr>
          <w:i/>
          <w:spacing w:val="-2"/>
          <w:sz w:val="24"/>
        </w:rPr>
        <w:t>behavior.</w:t>
      </w:r>
    </w:p>
    <w:p>
      <w:pPr>
        <w:pStyle w:val="BodyText"/>
        <w:tabs>
          <w:tab w:pos="2216" w:val="left" w:leader="none"/>
          <w:tab w:pos="3216" w:val="left" w:leader="none"/>
          <w:tab w:pos="4989" w:val="left" w:leader="none"/>
          <w:tab w:pos="6969" w:val="left" w:leader="none"/>
          <w:tab w:pos="8068" w:val="left" w:leader="none"/>
        </w:tabs>
        <w:ind w:left="711"/>
      </w:pPr>
      <w:r>
        <w:rPr>
          <w:spacing w:val="-2"/>
        </w:rPr>
        <w:t>Journal</w:t>
      </w:r>
      <w:r>
        <w:rPr/>
        <w:tab/>
      </w:r>
      <w:r>
        <w:rPr>
          <w:spacing w:val="-5"/>
        </w:rPr>
        <w:t>of</w:t>
      </w:r>
      <w:r>
        <w:rPr/>
        <w:tab/>
      </w:r>
      <w:r>
        <w:rPr>
          <w:spacing w:val="-2"/>
        </w:rPr>
        <w:t>Economic</w:t>
      </w:r>
      <w:r>
        <w:rPr/>
        <w:tab/>
      </w:r>
      <w:r>
        <w:rPr>
          <w:spacing w:val="-2"/>
        </w:rPr>
        <w:t>Psychology,</w:t>
      </w:r>
      <w:r>
        <w:rPr/>
        <w:tab/>
      </w:r>
      <w:r>
        <w:rPr>
          <w:spacing w:val="-5"/>
        </w:rPr>
        <w:t>75,</w:t>
      </w:r>
      <w:r>
        <w:rPr/>
        <w:tab/>
        <w:t>102-</w:t>
      </w:r>
      <w:r>
        <w:rPr>
          <w:spacing w:val="-4"/>
        </w:rPr>
        <w:t>113.</w:t>
      </w:r>
    </w:p>
    <w:p>
      <w:pPr>
        <w:pStyle w:val="BodyText"/>
      </w:pPr>
    </w:p>
    <w:p>
      <w:pPr>
        <w:pStyle w:val="BodyText"/>
        <w:ind w:left="711"/>
      </w:pPr>
      <w:hyperlink r:id="rId86">
        <w:r>
          <w:rPr>
            <w:color w:val="0462C1"/>
            <w:spacing w:val="-2"/>
            <w:u w:val="single" w:color="0462C1"/>
          </w:rPr>
          <w:t>https://doi.org/10.1016/j.joep.2019.102113</w:t>
        </w:r>
      </w:hyperlink>
    </w:p>
    <w:p>
      <w:pPr>
        <w:pStyle w:val="BodyText"/>
      </w:pPr>
    </w:p>
    <w:p>
      <w:pPr>
        <w:spacing w:line="480" w:lineRule="auto" w:before="0"/>
        <w:ind w:left="711" w:right="990" w:hanging="568"/>
        <w:jc w:val="both"/>
        <w:rPr>
          <w:sz w:val="24"/>
        </w:rPr>
      </w:pPr>
      <w:r>
        <w:rPr>
          <w:sz w:val="24"/>
        </w:rPr>
        <w:t>Romero</w:t>
      </w:r>
      <w:r>
        <w:rPr>
          <w:spacing w:val="-7"/>
          <w:sz w:val="24"/>
        </w:rPr>
        <w:t> </w:t>
      </w:r>
      <w:r>
        <w:rPr>
          <w:sz w:val="24"/>
        </w:rPr>
        <w:t>Dueñez,</w:t>
      </w:r>
      <w:r>
        <w:rPr>
          <w:spacing w:val="-7"/>
          <w:sz w:val="24"/>
        </w:rPr>
        <w:t> </w:t>
      </w:r>
      <w:r>
        <w:rPr>
          <w:sz w:val="24"/>
        </w:rPr>
        <w:t>L.</w:t>
      </w:r>
      <w:r>
        <w:rPr>
          <w:spacing w:val="-3"/>
          <w:sz w:val="24"/>
        </w:rPr>
        <w:t> </w:t>
      </w:r>
      <w:r>
        <w:rPr>
          <w:sz w:val="24"/>
        </w:rPr>
        <w:t>E.</w:t>
      </w:r>
      <w:r>
        <w:rPr>
          <w:spacing w:val="-7"/>
          <w:sz w:val="24"/>
        </w:rPr>
        <w:t> </w:t>
      </w:r>
      <w:r>
        <w:rPr>
          <w:sz w:val="24"/>
        </w:rPr>
        <w:t>(2020).</w:t>
      </w:r>
      <w:r>
        <w:rPr>
          <w:spacing w:val="-6"/>
          <w:sz w:val="24"/>
        </w:rPr>
        <w:t> </w:t>
      </w:r>
      <w:r>
        <w:rPr>
          <w:i/>
          <w:sz w:val="24"/>
        </w:rPr>
        <w:t>El</w:t>
      </w:r>
      <w:r>
        <w:rPr>
          <w:i/>
          <w:spacing w:val="-8"/>
          <w:sz w:val="24"/>
        </w:rPr>
        <w:t> </w:t>
      </w:r>
      <w:r>
        <w:rPr>
          <w:i/>
          <w:sz w:val="24"/>
        </w:rPr>
        <w:t>doble</w:t>
      </w:r>
      <w:r>
        <w:rPr>
          <w:i/>
          <w:spacing w:val="-7"/>
          <w:sz w:val="24"/>
        </w:rPr>
        <w:t> </w:t>
      </w:r>
      <w:r>
        <w:rPr>
          <w:i/>
          <w:sz w:val="24"/>
        </w:rPr>
        <w:t>pago</w:t>
      </w:r>
      <w:r>
        <w:rPr>
          <w:i/>
          <w:spacing w:val="-7"/>
          <w:sz w:val="24"/>
        </w:rPr>
        <w:t> </w:t>
      </w:r>
      <w:r>
        <w:rPr>
          <w:i/>
          <w:sz w:val="24"/>
        </w:rPr>
        <w:t>anticipado</w:t>
      </w:r>
      <w:r>
        <w:rPr>
          <w:i/>
          <w:spacing w:val="-7"/>
          <w:sz w:val="24"/>
        </w:rPr>
        <w:t> </w:t>
      </w:r>
      <w:r>
        <w:rPr>
          <w:i/>
          <w:sz w:val="24"/>
        </w:rPr>
        <w:t>del</w:t>
      </w:r>
      <w:r>
        <w:rPr>
          <w:i/>
          <w:spacing w:val="-8"/>
          <w:sz w:val="24"/>
        </w:rPr>
        <w:t> </w:t>
      </w:r>
      <w:r>
        <w:rPr>
          <w:i/>
          <w:sz w:val="24"/>
        </w:rPr>
        <w:t>impuesto</w:t>
      </w:r>
      <w:r>
        <w:rPr>
          <w:i/>
          <w:spacing w:val="-7"/>
          <w:sz w:val="24"/>
        </w:rPr>
        <w:t> </w:t>
      </w:r>
      <w:r>
        <w:rPr>
          <w:i/>
          <w:sz w:val="24"/>
        </w:rPr>
        <w:t>general</w:t>
      </w:r>
      <w:r>
        <w:rPr>
          <w:i/>
          <w:spacing w:val="-7"/>
          <w:sz w:val="24"/>
        </w:rPr>
        <w:t> </w:t>
      </w:r>
      <w:r>
        <w:rPr>
          <w:i/>
          <w:sz w:val="24"/>
        </w:rPr>
        <w:t>a</w:t>
      </w:r>
      <w:r>
        <w:rPr>
          <w:i/>
          <w:spacing w:val="-7"/>
          <w:sz w:val="24"/>
        </w:rPr>
        <w:t> </w:t>
      </w:r>
      <w:r>
        <w:rPr>
          <w:i/>
          <w:sz w:val="24"/>
        </w:rPr>
        <w:t>las</w:t>
      </w:r>
      <w:r>
        <w:rPr>
          <w:i/>
          <w:spacing w:val="-6"/>
          <w:sz w:val="24"/>
        </w:rPr>
        <w:t> </w:t>
      </w:r>
      <w:r>
        <w:rPr>
          <w:i/>
          <w:sz w:val="24"/>
        </w:rPr>
        <w:t>ventas</w:t>
      </w:r>
      <w:r>
        <w:rPr>
          <w:i/>
          <w:spacing w:val="-6"/>
          <w:sz w:val="24"/>
        </w:rPr>
        <w:t> </w:t>
      </w:r>
      <w:r>
        <w:rPr>
          <w:i/>
          <w:sz w:val="24"/>
        </w:rPr>
        <w:t>y la liquidez en las empresas importadoras de estructuras </w:t>
      </w:r>
      <w:r>
        <w:rPr>
          <w:i/>
          <w:sz w:val="24"/>
        </w:rPr>
        <w:t>metálicas. </w:t>
      </w:r>
      <w:hyperlink r:id="rId87">
        <w:r>
          <w:rPr>
            <w:color w:val="0462C1"/>
            <w:spacing w:val="-2"/>
            <w:sz w:val="24"/>
            <w:u w:val="single" w:color="0462C1"/>
          </w:rPr>
          <w:t>https://hdl.handle.net/20.500.12952/5332</w:t>
        </w:r>
      </w:hyperlink>
    </w:p>
    <w:p>
      <w:pPr>
        <w:spacing w:before="1"/>
        <w:ind w:left="143" w:right="0" w:firstLine="0"/>
        <w:jc w:val="left"/>
        <w:rPr>
          <w:sz w:val="24"/>
        </w:rPr>
      </w:pPr>
      <w:r>
        <w:rPr>
          <w:sz w:val="24"/>
        </w:rPr>
        <w:t>Shiller,</w:t>
      </w:r>
      <w:r>
        <w:rPr>
          <w:spacing w:val="-1"/>
          <w:sz w:val="24"/>
        </w:rPr>
        <w:t> </w:t>
      </w:r>
      <w:r>
        <w:rPr>
          <w:sz w:val="24"/>
        </w:rPr>
        <w:t>R.</w:t>
      </w:r>
      <w:r>
        <w:rPr>
          <w:spacing w:val="-1"/>
          <w:sz w:val="24"/>
        </w:rPr>
        <w:t> </w:t>
      </w:r>
      <w:r>
        <w:rPr>
          <w:sz w:val="24"/>
        </w:rPr>
        <w:t>J.</w:t>
      </w:r>
      <w:r>
        <w:rPr>
          <w:spacing w:val="-1"/>
          <w:sz w:val="24"/>
        </w:rPr>
        <w:t> </w:t>
      </w:r>
      <w:r>
        <w:rPr>
          <w:sz w:val="24"/>
        </w:rPr>
        <w:t>(2000).</w:t>
      </w:r>
      <w:r>
        <w:rPr>
          <w:spacing w:val="1"/>
          <w:sz w:val="24"/>
        </w:rPr>
        <w:t> </w:t>
      </w:r>
      <w:r>
        <w:rPr>
          <w:i/>
          <w:sz w:val="24"/>
        </w:rPr>
        <w:t>Irrational</w:t>
      </w:r>
      <w:r>
        <w:rPr>
          <w:i/>
          <w:spacing w:val="-2"/>
          <w:sz w:val="24"/>
        </w:rPr>
        <w:t> </w:t>
      </w:r>
      <w:r>
        <w:rPr>
          <w:i/>
          <w:sz w:val="24"/>
        </w:rPr>
        <w:t>exuberance.</w:t>
      </w:r>
      <w:r>
        <w:rPr>
          <w:i/>
          <w:spacing w:val="-1"/>
          <w:sz w:val="24"/>
        </w:rPr>
        <w:t> </w:t>
      </w:r>
      <w:r>
        <w:rPr>
          <w:sz w:val="24"/>
        </w:rPr>
        <w:t>Princeton</w:t>
      </w:r>
      <w:r>
        <w:rPr>
          <w:spacing w:val="-1"/>
          <w:sz w:val="24"/>
        </w:rPr>
        <w:t> </w:t>
      </w:r>
      <w:r>
        <w:rPr>
          <w:sz w:val="24"/>
        </w:rPr>
        <w:t>University</w:t>
      </w:r>
      <w:r>
        <w:rPr>
          <w:spacing w:val="-1"/>
          <w:sz w:val="24"/>
        </w:rPr>
        <w:t> </w:t>
      </w:r>
      <w:r>
        <w:rPr>
          <w:spacing w:val="-2"/>
          <w:sz w:val="24"/>
        </w:rPr>
        <w:t>Press.</w:t>
      </w:r>
    </w:p>
    <w:p>
      <w:pPr>
        <w:spacing w:line="480" w:lineRule="auto" w:before="276"/>
        <w:ind w:left="711" w:right="986" w:hanging="568"/>
        <w:jc w:val="left"/>
        <w:rPr>
          <w:sz w:val="24"/>
        </w:rPr>
      </w:pPr>
      <w:r>
        <w:rPr>
          <w:sz w:val="24"/>
        </w:rPr>
        <w:t>Superintendencia</w:t>
      </w:r>
      <w:r>
        <w:rPr>
          <w:spacing w:val="79"/>
          <w:sz w:val="24"/>
        </w:rPr>
        <w:t> </w:t>
      </w:r>
      <w:r>
        <w:rPr>
          <w:sz w:val="24"/>
        </w:rPr>
        <w:t>Nacional</w:t>
      </w:r>
      <w:r>
        <w:rPr>
          <w:spacing w:val="79"/>
          <w:sz w:val="24"/>
        </w:rPr>
        <w:t> </w:t>
      </w:r>
      <w:r>
        <w:rPr>
          <w:sz w:val="24"/>
        </w:rPr>
        <w:t>de</w:t>
      </w:r>
      <w:r>
        <w:rPr>
          <w:spacing w:val="80"/>
          <w:sz w:val="24"/>
        </w:rPr>
        <w:t> </w:t>
      </w:r>
      <w:r>
        <w:rPr>
          <w:sz w:val="24"/>
        </w:rPr>
        <w:t>Administración</w:t>
      </w:r>
      <w:r>
        <w:rPr>
          <w:spacing w:val="80"/>
          <w:sz w:val="24"/>
        </w:rPr>
        <w:t> </w:t>
      </w:r>
      <w:r>
        <w:rPr>
          <w:sz w:val="24"/>
        </w:rPr>
        <w:t>Tributaria.</w:t>
      </w:r>
      <w:r>
        <w:rPr>
          <w:spacing w:val="80"/>
          <w:sz w:val="24"/>
        </w:rPr>
        <w:t> </w:t>
      </w:r>
      <w:r>
        <w:rPr>
          <w:sz w:val="24"/>
        </w:rPr>
        <w:t>(2021).</w:t>
      </w:r>
      <w:r>
        <w:rPr>
          <w:spacing w:val="80"/>
          <w:sz w:val="24"/>
        </w:rPr>
        <w:t> </w:t>
      </w:r>
      <w:r>
        <w:rPr>
          <w:i/>
          <w:sz w:val="24"/>
        </w:rPr>
        <w:t>Guía</w:t>
      </w:r>
      <w:r>
        <w:rPr>
          <w:i/>
          <w:spacing w:val="80"/>
          <w:sz w:val="24"/>
        </w:rPr>
        <w:t> </w:t>
      </w:r>
      <w:r>
        <w:rPr>
          <w:i/>
          <w:sz w:val="24"/>
        </w:rPr>
        <w:t>del</w:t>
      </w:r>
      <w:r>
        <w:rPr>
          <w:i/>
          <w:spacing w:val="79"/>
          <w:sz w:val="24"/>
        </w:rPr>
        <w:t> </w:t>
      </w:r>
      <w:r>
        <w:rPr>
          <w:i/>
          <w:sz w:val="24"/>
        </w:rPr>
        <w:t>Impuesto General a las Ventas (IGV)</w:t>
      </w:r>
      <w:r>
        <w:rPr>
          <w:sz w:val="24"/>
        </w:rPr>
        <w:t>. Recuperado de </w:t>
      </w:r>
      <w:hyperlink r:id="rId88">
        <w:r>
          <w:rPr>
            <w:color w:val="0462C1"/>
            <w:sz w:val="24"/>
            <w:u w:val="single" w:color="0462C1"/>
          </w:rPr>
          <w:t>https://www.sunat.gob.pe/</w:t>
        </w:r>
      </w:hyperlink>
    </w:p>
    <w:p>
      <w:pPr>
        <w:pStyle w:val="BodyText"/>
        <w:ind w:left="143"/>
      </w:pPr>
      <w:r>
        <w:rPr/>
        <w:t>Superintendencia</w:t>
      </w:r>
      <w:r>
        <w:rPr>
          <w:spacing w:val="11"/>
        </w:rPr>
        <w:t> </w:t>
      </w:r>
      <w:r>
        <w:rPr/>
        <w:t>Nacional</w:t>
      </w:r>
      <w:r>
        <w:rPr>
          <w:spacing w:val="11"/>
        </w:rPr>
        <w:t> </w:t>
      </w:r>
      <w:r>
        <w:rPr/>
        <w:t>de</w:t>
      </w:r>
      <w:r>
        <w:rPr>
          <w:spacing w:val="12"/>
        </w:rPr>
        <w:t> </w:t>
      </w:r>
      <w:r>
        <w:rPr/>
        <w:t>Aduanas</w:t>
      </w:r>
      <w:r>
        <w:rPr>
          <w:spacing w:val="12"/>
        </w:rPr>
        <w:t> </w:t>
      </w:r>
      <w:r>
        <w:rPr/>
        <w:t>y</w:t>
      </w:r>
      <w:r>
        <w:rPr>
          <w:spacing w:val="15"/>
        </w:rPr>
        <w:t> </w:t>
      </w:r>
      <w:r>
        <w:rPr/>
        <w:t>de</w:t>
      </w:r>
      <w:r>
        <w:rPr>
          <w:spacing w:val="12"/>
        </w:rPr>
        <w:t> </w:t>
      </w:r>
      <w:r>
        <w:rPr/>
        <w:t>Administración</w:t>
      </w:r>
      <w:r>
        <w:rPr>
          <w:spacing w:val="14"/>
        </w:rPr>
        <w:t> </w:t>
      </w:r>
      <w:r>
        <w:rPr/>
        <w:t>Tributaria</w:t>
      </w:r>
      <w:r>
        <w:rPr>
          <w:spacing w:val="11"/>
        </w:rPr>
        <w:t> </w:t>
      </w:r>
      <w:r>
        <w:rPr/>
        <w:t>[SUNAT].</w:t>
      </w:r>
      <w:r>
        <w:rPr>
          <w:spacing w:val="13"/>
        </w:rPr>
        <w:t> </w:t>
      </w:r>
      <w:r>
        <w:rPr>
          <w:spacing w:val="-2"/>
        </w:rPr>
        <w:t>(2023).</w:t>
      </w:r>
    </w:p>
    <w:p>
      <w:pPr>
        <w:spacing w:before="276"/>
        <w:ind w:left="711" w:right="0" w:firstLine="0"/>
        <w:jc w:val="left"/>
        <w:rPr>
          <w:sz w:val="24"/>
        </w:rPr>
      </w:pPr>
      <w:r>
        <w:rPr>
          <w:i/>
          <w:sz w:val="24"/>
        </w:rPr>
        <w:t>Informe</w:t>
      </w:r>
      <w:r>
        <w:rPr>
          <w:i/>
          <w:spacing w:val="-3"/>
          <w:sz w:val="24"/>
        </w:rPr>
        <w:t> </w:t>
      </w:r>
      <w:r>
        <w:rPr>
          <w:i/>
          <w:sz w:val="24"/>
        </w:rPr>
        <w:t>sobre</w:t>
      </w:r>
      <w:r>
        <w:rPr>
          <w:i/>
          <w:spacing w:val="-1"/>
          <w:sz w:val="24"/>
        </w:rPr>
        <w:t> </w:t>
      </w:r>
      <w:r>
        <w:rPr>
          <w:i/>
          <w:sz w:val="24"/>
        </w:rPr>
        <w:t>el</w:t>
      </w:r>
      <w:r>
        <w:rPr>
          <w:i/>
          <w:spacing w:val="-2"/>
          <w:sz w:val="24"/>
        </w:rPr>
        <w:t> </w:t>
      </w:r>
      <w:r>
        <w:rPr>
          <w:i/>
          <w:sz w:val="24"/>
        </w:rPr>
        <w:t>Impuesto</w:t>
      </w:r>
      <w:r>
        <w:rPr>
          <w:i/>
          <w:spacing w:val="-1"/>
          <w:sz w:val="24"/>
        </w:rPr>
        <w:t> </w:t>
      </w:r>
      <w:r>
        <w:rPr>
          <w:i/>
          <w:sz w:val="24"/>
        </w:rPr>
        <w:t>General a</w:t>
      </w:r>
      <w:r>
        <w:rPr>
          <w:i/>
          <w:spacing w:val="-1"/>
          <w:sz w:val="24"/>
        </w:rPr>
        <w:t> </w:t>
      </w:r>
      <w:r>
        <w:rPr>
          <w:i/>
          <w:sz w:val="24"/>
        </w:rPr>
        <w:t>las</w:t>
      </w:r>
      <w:r>
        <w:rPr>
          <w:i/>
          <w:spacing w:val="2"/>
          <w:sz w:val="24"/>
        </w:rPr>
        <w:t> </w:t>
      </w:r>
      <w:r>
        <w:rPr>
          <w:i/>
          <w:sz w:val="24"/>
        </w:rPr>
        <w:t>Ventas</w:t>
      </w:r>
      <w:r>
        <w:rPr>
          <w:i/>
          <w:spacing w:val="-1"/>
          <w:sz w:val="24"/>
        </w:rPr>
        <w:t> </w:t>
      </w:r>
      <w:r>
        <w:rPr>
          <w:i/>
          <w:sz w:val="24"/>
        </w:rPr>
        <w:t>en </w:t>
      </w:r>
      <w:r>
        <w:rPr>
          <w:i/>
          <w:spacing w:val="-2"/>
          <w:sz w:val="24"/>
        </w:rPr>
        <w:t>Perú</w:t>
      </w:r>
      <w:r>
        <w:rPr>
          <w:spacing w:val="-2"/>
          <w:sz w:val="24"/>
        </w:rPr>
        <w:t>.</w:t>
      </w:r>
    </w:p>
    <w:p>
      <w:pPr>
        <w:pStyle w:val="BodyText"/>
        <w:spacing w:line="480" w:lineRule="auto" w:before="276"/>
        <w:ind w:left="711" w:right="990" w:hanging="568"/>
        <w:jc w:val="both"/>
      </w:pPr>
      <w:r>
        <w:rPr/>
        <w:t>Virgili, J. R., Miguel, A. V., &amp; Sierra, A. (2024). Percepción económica y polarización política en tiempos de crisis. </w:t>
      </w:r>
      <w:r>
        <w:rPr>
          <w:i/>
        </w:rPr>
        <w:t>Más poder local</w:t>
      </w:r>
      <w:r>
        <w:rPr/>
        <w:t>, (55), 70-90.</w:t>
      </w:r>
    </w:p>
    <w:p>
      <w:pPr>
        <w:spacing w:before="0"/>
        <w:ind w:left="143" w:right="0" w:firstLine="0"/>
        <w:jc w:val="left"/>
        <w:rPr>
          <w:sz w:val="24"/>
        </w:rPr>
      </w:pPr>
      <w:r>
        <w:rPr>
          <w:sz w:val="24"/>
        </w:rPr>
        <w:t>Von</w:t>
      </w:r>
      <w:r>
        <w:rPr>
          <w:spacing w:val="27"/>
          <w:sz w:val="24"/>
        </w:rPr>
        <w:t> </w:t>
      </w:r>
      <w:r>
        <w:rPr>
          <w:sz w:val="24"/>
        </w:rPr>
        <w:t>Neumann,</w:t>
      </w:r>
      <w:r>
        <w:rPr>
          <w:spacing w:val="29"/>
          <w:sz w:val="24"/>
        </w:rPr>
        <w:t> </w:t>
      </w:r>
      <w:r>
        <w:rPr>
          <w:sz w:val="24"/>
        </w:rPr>
        <w:t>J.,</w:t>
      </w:r>
      <w:r>
        <w:rPr>
          <w:spacing w:val="31"/>
          <w:sz w:val="24"/>
        </w:rPr>
        <w:t> </w:t>
      </w:r>
      <w:r>
        <w:rPr>
          <w:sz w:val="24"/>
        </w:rPr>
        <w:t>&amp;</w:t>
      </w:r>
      <w:r>
        <w:rPr>
          <w:spacing w:val="29"/>
          <w:sz w:val="24"/>
        </w:rPr>
        <w:t> </w:t>
      </w:r>
      <w:r>
        <w:rPr>
          <w:sz w:val="24"/>
        </w:rPr>
        <w:t>Morgenstern,</w:t>
      </w:r>
      <w:r>
        <w:rPr>
          <w:spacing w:val="28"/>
          <w:sz w:val="24"/>
        </w:rPr>
        <w:t> </w:t>
      </w:r>
      <w:r>
        <w:rPr>
          <w:sz w:val="24"/>
        </w:rPr>
        <w:t>O.</w:t>
      </w:r>
      <w:r>
        <w:rPr>
          <w:spacing w:val="32"/>
          <w:sz w:val="24"/>
        </w:rPr>
        <w:t> </w:t>
      </w:r>
      <w:r>
        <w:rPr>
          <w:sz w:val="24"/>
        </w:rPr>
        <w:t>(1944).</w:t>
      </w:r>
      <w:r>
        <w:rPr>
          <w:spacing w:val="32"/>
          <w:sz w:val="24"/>
        </w:rPr>
        <w:t> </w:t>
      </w:r>
      <w:r>
        <w:rPr>
          <w:i/>
          <w:sz w:val="24"/>
        </w:rPr>
        <w:t>Theory</w:t>
      </w:r>
      <w:r>
        <w:rPr>
          <w:i/>
          <w:spacing w:val="28"/>
          <w:sz w:val="24"/>
        </w:rPr>
        <w:t> </w:t>
      </w:r>
      <w:r>
        <w:rPr>
          <w:i/>
          <w:sz w:val="24"/>
        </w:rPr>
        <w:t>of</w:t>
      </w:r>
      <w:r>
        <w:rPr>
          <w:i/>
          <w:spacing w:val="29"/>
          <w:sz w:val="24"/>
        </w:rPr>
        <w:t> </w:t>
      </w:r>
      <w:r>
        <w:rPr>
          <w:i/>
          <w:sz w:val="24"/>
        </w:rPr>
        <w:t>games</w:t>
      </w:r>
      <w:r>
        <w:rPr>
          <w:i/>
          <w:spacing w:val="29"/>
          <w:sz w:val="24"/>
        </w:rPr>
        <w:t> </w:t>
      </w:r>
      <w:r>
        <w:rPr>
          <w:i/>
          <w:sz w:val="24"/>
        </w:rPr>
        <w:t>and</w:t>
      </w:r>
      <w:r>
        <w:rPr>
          <w:i/>
          <w:spacing w:val="29"/>
          <w:sz w:val="24"/>
        </w:rPr>
        <w:t> </w:t>
      </w:r>
      <w:r>
        <w:rPr>
          <w:i/>
          <w:sz w:val="24"/>
        </w:rPr>
        <w:t>economic</w:t>
      </w:r>
      <w:r>
        <w:rPr>
          <w:i/>
          <w:spacing w:val="31"/>
          <w:sz w:val="24"/>
        </w:rPr>
        <w:t> </w:t>
      </w:r>
      <w:r>
        <w:rPr>
          <w:i/>
          <w:spacing w:val="-2"/>
          <w:sz w:val="24"/>
        </w:rPr>
        <w:t>behavior</w:t>
      </w:r>
      <w:r>
        <w:rPr>
          <w:spacing w:val="-2"/>
          <w:sz w:val="24"/>
        </w:rPr>
        <w:t>.</w:t>
      </w:r>
    </w:p>
    <w:p>
      <w:pPr>
        <w:pStyle w:val="BodyText"/>
      </w:pPr>
    </w:p>
    <w:p>
      <w:pPr>
        <w:pStyle w:val="BodyText"/>
        <w:ind w:left="711"/>
      </w:pPr>
      <w:r>
        <w:rPr/>
        <w:t>Princeton</w:t>
      </w:r>
      <w:r>
        <w:rPr>
          <w:spacing w:val="-1"/>
        </w:rPr>
        <w:t> </w:t>
      </w:r>
      <w:r>
        <w:rPr/>
        <w:t>University</w:t>
      </w:r>
      <w:r>
        <w:rPr>
          <w:spacing w:val="-1"/>
        </w:rPr>
        <w:t> </w:t>
      </w:r>
      <w:r>
        <w:rPr>
          <w:spacing w:val="-2"/>
        </w:rPr>
        <w:t>Press.</w:t>
      </w:r>
    </w:p>
    <w:p>
      <w:pPr>
        <w:pStyle w:val="BodyText"/>
      </w:pPr>
    </w:p>
    <w:p>
      <w:pPr>
        <w:pStyle w:val="BodyText"/>
        <w:spacing w:line="480" w:lineRule="auto"/>
        <w:ind w:left="711" w:right="990" w:hanging="568"/>
        <w:jc w:val="both"/>
      </w:pPr>
      <w:r>
        <w:rPr/>
        <w:t>Zapana Quisocala, Y. (2022). Determinación del impuesto general a las ventas y pagos a cuenta del impuesto a la renta en régimen Mype tributario de la empresa Inversiones &amp;</w:t>
      </w:r>
      <w:r>
        <w:rPr>
          <w:spacing w:val="75"/>
          <w:w w:val="150"/>
        </w:rPr>
        <w:t>   </w:t>
      </w:r>
      <w:r>
        <w:rPr/>
        <w:t>Negociaciones</w:t>
      </w:r>
      <w:r>
        <w:rPr>
          <w:spacing w:val="77"/>
          <w:w w:val="150"/>
        </w:rPr>
        <w:t>   </w:t>
      </w:r>
      <w:r>
        <w:rPr/>
        <w:t>Aldo</w:t>
      </w:r>
      <w:r>
        <w:rPr>
          <w:spacing w:val="76"/>
          <w:w w:val="150"/>
        </w:rPr>
        <w:t>   </w:t>
      </w:r>
      <w:r>
        <w:rPr/>
        <w:t>Rosel</w:t>
      </w:r>
      <w:r>
        <w:rPr>
          <w:spacing w:val="75"/>
          <w:w w:val="150"/>
        </w:rPr>
        <w:t>   </w:t>
      </w:r>
      <w:r>
        <w:rPr/>
        <w:t>EIRL</w:t>
      </w:r>
      <w:r>
        <w:rPr>
          <w:spacing w:val="76"/>
          <w:w w:val="150"/>
        </w:rPr>
        <w:t>   </w:t>
      </w:r>
      <w:r>
        <w:rPr/>
        <w:t>del</w:t>
      </w:r>
      <w:r>
        <w:rPr>
          <w:spacing w:val="76"/>
          <w:w w:val="150"/>
        </w:rPr>
        <w:t>   </w:t>
      </w:r>
      <w:r>
        <w:rPr/>
        <w:t>periodo</w:t>
      </w:r>
      <w:r>
        <w:rPr>
          <w:spacing w:val="76"/>
          <w:w w:val="150"/>
        </w:rPr>
        <w:t>   </w:t>
      </w:r>
      <w:r>
        <w:rPr>
          <w:spacing w:val="-2"/>
        </w:rPr>
        <w:t>2021.</w:t>
      </w:r>
    </w:p>
    <w:p>
      <w:pPr>
        <w:pStyle w:val="BodyText"/>
        <w:spacing w:line="274" w:lineRule="exact"/>
        <w:ind w:left="711"/>
      </w:pPr>
      <w:hyperlink r:id="rId89">
        <w:r>
          <w:rPr>
            <w:color w:val="0462C1"/>
            <w:u w:val="single" w:color="0462C1"/>
          </w:rPr>
          <w:t>h</w:t>
        </w:r>
        <w:r>
          <w:rPr>
            <w:color w:val="0462C1"/>
            <w:spacing w:val="-1"/>
            <w:u w:val="single" w:color="0462C1"/>
          </w:rPr>
          <w:t>t</w:t>
        </w:r>
        <w:r>
          <w:rPr>
            <w:color w:val="0462C1"/>
            <w:u w:val="single" w:color="0462C1"/>
          </w:rPr>
          <w:t>t</w:t>
        </w:r>
        <w:r>
          <w:rPr>
            <w:color w:val="0462C1"/>
            <w:spacing w:val="-1"/>
            <w:u w:val="single" w:color="0462C1"/>
          </w:rPr>
          <w:t>p</w:t>
        </w:r>
        <w:r>
          <w:rPr>
            <w:color w:val="0462C1"/>
            <w:u w:val="single" w:color="0462C1"/>
          </w:rPr>
          <w:t>s:</w:t>
        </w:r>
        <w:r>
          <w:rPr>
            <w:color w:val="0462C1"/>
            <w:spacing w:val="-1"/>
            <w:u w:val="single" w:color="0462C1"/>
          </w:rPr>
          <w:t>/</w:t>
        </w:r>
        <w:r>
          <w:rPr>
            <w:color w:val="0462C1"/>
            <w:u w:val="single" w:color="0462C1"/>
          </w:rPr>
          <w:t>/</w:t>
        </w:r>
        <w:r>
          <w:rPr>
            <w:color w:val="0462C1"/>
            <w:spacing w:val="-1"/>
            <w:u w:val="single" w:color="0462C1"/>
          </w:rPr>
          <w:t>h</w:t>
        </w:r>
        <w:r>
          <w:rPr>
            <w:color w:val="0462C1"/>
            <w:spacing w:val="1"/>
            <w:u w:val="single" w:color="0462C1"/>
          </w:rPr>
          <w:t>d</w:t>
        </w:r>
        <w:r>
          <w:rPr>
            <w:color w:val="0462C1"/>
            <w:u w:val="single" w:color="0462C1"/>
          </w:rPr>
          <w:t>l</w:t>
        </w:r>
        <w:r>
          <w:rPr>
            <w:color w:val="0462C1"/>
            <w:spacing w:val="-1"/>
            <w:u w:val="single" w:color="0462C1"/>
          </w:rPr>
          <w:t>.</w:t>
        </w:r>
        <w:r>
          <w:rPr>
            <w:color w:val="0462C1"/>
            <w:u w:val="single" w:color="0462C1"/>
          </w:rPr>
          <w:t>handle.n</w:t>
        </w:r>
        <w:r>
          <w:rPr>
            <w:color w:val="0462C1"/>
            <w:spacing w:val="-2"/>
            <w:u w:val="single" w:color="0462C1"/>
          </w:rPr>
          <w:t>e</w:t>
        </w:r>
        <w:r>
          <w:rPr>
            <w:color w:val="0462C1"/>
            <w:u w:val="single" w:color="0462C1"/>
          </w:rPr>
          <w:t>t/</w:t>
        </w:r>
        <w:r>
          <w:rPr>
            <w:color w:val="0462C1"/>
            <w:spacing w:val="-1"/>
            <w:u w:val="single" w:color="0462C1"/>
          </w:rPr>
          <w:t>2</w:t>
        </w:r>
        <w:r>
          <w:rPr>
            <w:color w:val="0462C1"/>
            <w:u w:val="single" w:color="0462C1"/>
          </w:rPr>
          <w:t>0.</w:t>
        </w:r>
        <w:r>
          <w:rPr>
            <w:color w:val="0462C1"/>
            <w:spacing w:val="-60"/>
          </w:rPr>
          <w:t> </w:t>
        </w:r>
        <w:r>
          <w:rPr>
            <w:color w:val="0462C1"/>
            <w:u w:val="single" w:color="0462C1"/>
          </w:rPr>
          <w:t>500.12990/12216</w:t>
        </w:r>
      </w:hyperlink>
    </w:p>
    <w:p>
      <w:pPr>
        <w:pStyle w:val="BodyText"/>
        <w:spacing w:after="0" w:line="274" w:lineRule="exact"/>
        <w:sectPr>
          <w:pgSz w:w="11910" w:h="16840"/>
          <w:pgMar w:header="0" w:footer="693" w:top="1340" w:bottom="880" w:left="1559" w:right="425"/>
        </w:sectPr>
      </w:pPr>
    </w:p>
    <w:p>
      <w:pPr>
        <w:pStyle w:val="BodyText"/>
        <w:rPr>
          <w:sz w:val="96"/>
        </w:rPr>
      </w:pPr>
      <w:r>
        <w:rPr>
          <w:sz w:val="96"/>
        </w:rPr>
        <w:drawing>
          <wp:anchor distT="0" distB="0" distL="0" distR="0" allowOverlap="1" layoutInCell="1" locked="0" behindDoc="0" simplePos="0" relativeHeight="15760384">
            <wp:simplePos x="0" y="0"/>
            <wp:positionH relativeFrom="page">
              <wp:posOffset>0</wp:posOffset>
            </wp:positionH>
            <wp:positionV relativeFrom="page">
              <wp:posOffset>0</wp:posOffset>
            </wp:positionV>
            <wp:extent cx="7559040" cy="858265"/>
            <wp:effectExtent l="0" t="0" r="0" b="0"/>
            <wp:wrapNone/>
            <wp:docPr id="174" name="Image 174"/>
            <wp:cNvGraphicFramePr>
              <a:graphicFrameLocks/>
            </wp:cNvGraphicFramePr>
            <a:graphic>
              <a:graphicData uri="http://schemas.openxmlformats.org/drawingml/2006/picture">
                <pic:pic>
                  <pic:nvPicPr>
                    <pic:cNvPr id="174" name="Image 174"/>
                    <pic:cNvPicPr/>
                  </pic:nvPicPr>
                  <pic:blipFill>
                    <a:blip r:embed="rId5" cstate="print"/>
                    <a:stretch>
                      <a:fillRect/>
                    </a:stretch>
                  </pic:blipFill>
                  <pic:spPr>
                    <a:xfrm>
                      <a:off x="0" y="0"/>
                      <a:ext cx="7559040" cy="858265"/>
                    </a:xfrm>
                    <a:prstGeom prst="rect">
                      <a:avLst/>
                    </a:prstGeom>
                  </pic:spPr>
                </pic:pic>
              </a:graphicData>
            </a:graphic>
          </wp:anchor>
        </w:drawing>
      </w:r>
    </w:p>
    <w:p>
      <w:pPr>
        <w:pStyle w:val="BodyText"/>
        <w:rPr>
          <w:sz w:val="96"/>
        </w:rPr>
      </w:pPr>
    </w:p>
    <w:p>
      <w:pPr>
        <w:pStyle w:val="BodyText"/>
        <w:rPr>
          <w:sz w:val="96"/>
        </w:rPr>
      </w:pPr>
    </w:p>
    <w:p>
      <w:pPr>
        <w:pStyle w:val="BodyText"/>
        <w:spacing w:before="848"/>
        <w:rPr>
          <w:sz w:val="96"/>
        </w:rPr>
      </w:pPr>
    </w:p>
    <w:p>
      <w:pPr>
        <w:spacing w:before="0"/>
        <w:ind w:left="1" w:right="845" w:firstLine="0"/>
        <w:jc w:val="center"/>
        <w:rPr>
          <w:b/>
          <w:sz w:val="96"/>
        </w:rPr>
      </w:pPr>
      <w:bookmarkStart w:name="_bookmark78" w:id="79"/>
      <w:bookmarkEnd w:id="79"/>
      <w:r>
        <w:rPr/>
      </w:r>
      <w:r>
        <w:rPr>
          <w:b/>
          <w:spacing w:val="-2"/>
          <w:sz w:val="96"/>
        </w:rPr>
        <w:t>ANEXOS</w:t>
      </w:r>
    </w:p>
    <w:p>
      <w:pPr>
        <w:spacing w:after="0"/>
        <w:jc w:val="center"/>
        <w:rPr>
          <w:b/>
          <w:sz w:val="96"/>
        </w:rPr>
        <w:sectPr>
          <w:headerReference w:type="default" r:id="rId90"/>
          <w:footerReference w:type="default" r:id="rId91"/>
          <w:pgSz w:w="11910" w:h="16840"/>
          <w:pgMar w:header="0" w:footer="693" w:top="0" w:bottom="880" w:left="1559" w:right="425"/>
        </w:sectPr>
      </w:pPr>
    </w:p>
    <w:p>
      <w:pPr>
        <w:pStyle w:val="BodyText"/>
        <w:ind w:left="-992"/>
        <w:rPr>
          <w:sz w:val="20"/>
        </w:rPr>
      </w:pPr>
      <w:r>
        <w:rPr>
          <w:sz w:val="20"/>
        </w:rPr>
        <w:drawing>
          <wp:inline distT="0" distB="0" distL="0" distR="0">
            <wp:extent cx="7504547" cy="848296"/>
            <wp:effectExtent l="0" t="0" r="0" b="0"/>
            <wp:docPr id="176" name="Image 176"/>
            <wp:cNvGraphicFramePr>
              <a:graphicFrameLocks/>
            </wp:cNvGraphicFramePr>
            <a:graphic>
              <a:graphicData uri="http://schemas.openxmlformats.org/drawingml/2006/picture">
                <pic:pic>
                  <pic:nvPicPr>
                    <pic:cNvPr id="176" name="Image 176"/>
                    <pic:cNvPicPr/>
                  </pic:nvPicPr>
                  <pic:blipFill>
                    <a:blip r:embed="rId5" cstate="print"/>
                    <a:stretch>
                      <a:fillRect/>
                    </a:stretch>
                  </pic:blipFill>
                  <pic:spPr>
                    <a:xfrm>
                      <a:off x="0" y="0"/>
                      <a:ext cx="7504547" cy="848296"/>
                    </a:xfrm>
                    <a:prstGeom prst="rect">
                      <a:avLst/>
                    </a:prstGeom>
                  </pic:spPr>
                </pic:pic>
              </a:graphicData>
            </a:graphic>
          </wp:inline>
        </w:drawing>
      </w:r>
      <w:r>
        <w:rPr>
          <w:sz w:val="20"/>
        </w:rPr>
      </w:r>
    </w:p>
    <w:p>
      <w:pPr>
        <w:pStyle w:val="Heading3"/>
        <w:spacing w:before="76"/>
        <w:ind w:left="278" w:right="559"/>
        <w:jc w:val="center"/>
      </w:pPr>
      <w:bookmarkStart w:name="_bookmark79" w:id="80"/>
      <w:bookmarkEnd w:id="80"/>
      <w:r>
        <w:rPr>
          <w:b w:val="0"/>
        </w:rPr>
      </w:r>
      <w:r>
        <w:rPr/>
        <w:t>Matriz</w:t>
      </w:r>
      <w:r>
        <w:rPr>
          <w:spacing w:val="-3"/>
        </w:rPr>
        <w:t> </w:t>
      </w:r>
      <w:r>
        <w:rPr/>
        <w:t>de </w:t>
      </w:r>
      <w:r>
        <w:rPr>
          <w:spacing w:val="-2"/>
        </w:rPr>
        <w:t>consistencia</w:t>
      </w:r>
    </w:p>
    <w:p>
      <w:pPr>
        <w:spacing w:before="275"/>
        <w:ind w:left="274" w:right="559" w:firstLine="0"/>
        <w:jc w:val="center"/>
        <w:rPr>
          <w:b/>
          <w:sz w:val="22"/>
        </w:rPr>
      </w:pPr>
      <w:r>
        <w:rPr>
          <w:b/>
          <w:sz w:val="20"/>
        </w:rPr>
        <w:t>TITULO:</w:t>
      </w:r>
      <w:r>
        <w:rPr>
          <w:b/>
          <w:spacing w:val="-3"/>
          <w:sz w:val="20"/>
        </w:rPr>
        <w:t> </w:t>
      </w:r>
      <w:r>
        <w:rPr>
          <w:b/>
          <w:sz w:val="22"/>
        </w:rPr>
        <w:t>EL</w:t>
      </w:r>
      <w:r>
        <w:rPr>
          <w:b/>
          <w:spacing w:val="-3"/>
          <w:sz w:val="22"/>
        </w:rPr>
        <w:t> </w:t>
      </w:r>
      <w:r>
        <w:rPr>
          <w:b/>
          <w:sz w:val="22"/>
        </w:rPr>
        <w:t>IMPUESTO</w:t>
      </w:r>
      <w:r>
        <w:rPr>
          <w:b/>
          <w:spacing w:val="-2"/>
          <w:sz w:val="22"/>
        </w:rPr>
        <w:t> </w:t>
      </w:r>
      <w:r>
        <w:rPr>
          <w:b/>
          <w:sz w:val="22"/>
        </w:rPr>
        <w:t>GENERAL</w:t>
      </w:r>
      <w:r>
        <w:rPr>
          <w:b/>
          <w:spacing w:val="-3"/>
          <w:sz w:val="22"/>
        </w:rPr>
        <w:t> </w:t>
      </w:r>
      <w:r>
        <w:rPr>
          <w:b/>
          <w:sz w:val="22"/>
        </w:rPr>
        <w:t>DE</w:t>
      </w:r>
      <w:r>
        <w:rPr>
          <w:b/>
          <w:spacing w:val="-3"/>
          <w:sz w:val="22"/>
        </w:rPr>
        <w:t> </w:t>
      </w:r>
      <w:r>
        <w:rPr>
          <w:b/>
          <w:sz w:val="22"/>
        </w:rPr>
        <w:t>LAS</w:t>
      </w:r>
      <w:r>
        <w:rPr>
          <w:b/>
          <w:spacing w:val="-3"/>
          <w:sz w:val="22"/>
        </w:rPr>
        <w:t> </w:t>
      </w:r>
      <w:r>
        <w:rPr>
          <w:b/>
          <w:sz w:val="22"/>
        </w:rPr>
        <w:t>VENTAS</w:t>
      </w:r>
      <w:r>
        <w:rPr>
          <w:b/>
          <w:spacing w:val="-3"/>
          <w:sz w:val="22"/>
        </w:rPr>
        <w:t> </w:t>
      </w:r>
      <w:r>
        <w:rPr>
          <w:b/>
          <w:sz w:val="22"/>
        </w:rPr>
        <w:t>EN</w:t>
      </w:r>
      <w:r>
        <w:rPr>
          <w:b/>
          <w:spacing w:val="-3"/>
          <w:sz w:val="22"/>
        </w:rPr>
        <w:t> </w:t>
      </w:r>
      <w:r>
        <w:rPr>
          <w:b/>
          <w:sz w:val="22"/>
        </w:rPr>
        <w:t>LA</w:t>
      </w:r>
      <w:r>
        <w:rPr>
          <w:b/>
          <w:spacing w:val="-3"/>
          <w:sz w:val="22"/>
        </w:rPr>
        <w:t> </w:t>
      </w:r>
      <w:r>
        <w:rPr>
          <w:b/>
          <w:sz w:val="22"/>
        </w:rPr>
        <w:t>PERCEPCIÓN</w:t>
      </w:r>
      <w:r>
        <w:rPr>
          <w:b/>
          <w:spacing w:val="-3"/>
          <w:sz w:val="22"/>
        </w:rPr>
        <w:t> </w:t>
      </w:r>
      <w:r>
        <w:rPr>
          <w:b/>
          <w:sz w:val="22"/>
        </w:rPr>
        <w:t>ECONÓMICA</w:t>
      </w:r>
      <w:r>
        <w:rPr>
          <w:b/>
          <w:spacing w:val="-3"/>
          <w:sz w:val="22"/>
        </w:rPr>
        <w:t> </w:t>
      </w:r>
      <w:r>
        <w:rPr>
          <w:b/>
          <w:sz w:val="22"/>
        </w:rPr>
        <w:t>DE</w:t>
      </w:r>
      <w:r>
        <w:rPr>
          <w:b/>
          <w:spacing w:val="-3"/>
          <w:sz w:val="22"/>
        </w:rPr>
        <w:t> </w:t>
      </w:r>
      <w:r>
        <w:rPr>
          <w:b/>
          <w:sz w:val="22"/>
        </w:rPr>
        <w:t>LOS</w:t>
      </w:r>
      <w:r>
        <w:rPr>
          <w:b/>
          <w:spacing w:val="-5"/>
          <w:sz w:val="22"/>
        </w:rPr>
        <w:t> </w:t>
      </w:r>
      <w:r>
        <w:rPr>
          <w:b/>
          <w:sz w:val="22"/>
        </w:rPr>
        <w:t>COMERCIANTES</w:t>
      </w:r>
      <w:r>
        <w:rPr>
          <w:b/>
          <w:spacing w:val="-3"/>
          <w:sz w:val="22"/>
        </w:rPr>
        <w:t> </w:t>
      </w:r>
      <w:r>
        <w:rPr>
          <w:b/>
          <w:sz w:val="22"/>
        </w:rPr>
        <w:t>DEL</w:t>
      </w:r>
      <w:r>
        <w:rPr>
          <w:b/>
          <w:spacing w:val="-3"/>
          <w:sz w:val="22"/>
        </w:rPr>
        <w:t> </w:t>
      </w:r>
      <w:r>
        <w:rPr>
          <w:b/>
          <w:sz w:val="22"/>
        </w:rPr>
        <w:t>CENTRO</w:t>
      </w:r>
      <w:r>
        <w:rPr>
          <w:b/>
          <w:spacing w:val="-2"/>
          <w:sz w:val="22"/>
        </w:rPr>
        <w:t> </w:t>
      </w:r>
      <w:r>
        <w:rPr>
          <w:b/>
          <w:sz w:val="22"/>
        </w:rPr>
        <w:t>DE ABASTOS LAS MERCEDES DE JULIACA, 2023</w:t>
      </w:r>
    </w:p>
    <w:p>
      <w:pPr>
        <w:pStyle w:val="BodyText"/>
        <w:spacing w:before="11"/>
        <w:rPr>
          <w:b/>
          <w:sz w:val="20"/>
        </w:rPr>
      </w:pPr>
    </w:p>
    <w:tbl>
      <w:tblPr>
        <w:tblW w:w="0" w:type="auto"/>
        <w:jc w:val="left"/>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13"/>
        <w:gridCol w:w="3403"/>
        <w:gridCol w:w="3545"/>
        <w:gridCol w:w="1985"/>
        <w:gridCol w:w="2825"/>
      </w:tblGrid>
      <w:tr>
        <w:trPr>
          <w:trHeight w:val="351" w:hRule="atLeast"/>
        </w:trPr>
        <w:tc>
          <w:tcPr>
            <w:tcW w:w="3413" w:type="dxa"/>
          </w:tcPr>
          <w:p>
            <w:pPr>
              <w:pStyle w:val="TableParagraph"/>
              <w:spacing w:line="232" w:lineRule="exact" w:before="99"/>
              <w:ind w:left="506"/>
              <w:rPr>
                <w:rFonts w:ascii="Arial"/>
                <w:b/>
                <w:sz w:val="22"/>
              </w:rPr>
            </w:pPr>
            <w:r>
              <w:rPr>
                <w:rFonts w:ascii="Arial"/>
                <w:b/>
                <w:sz w:val="22"/>
              </w:rPr>
              <w:t>PROBLEMA</w:t>
            </w:r>
            <w:r>
              <w:rPr>
                <w:rFonts w:ascii="Arial"/>
                <w:b/>
                <w:spacing w:val="-9"/>
                <w:sz w:val="22"/>
              </w:rPr>
              <w:t> </w:t>
            </w:r>
            <w:r>
              <w:rPr>
                <w:rFonts w:ascii="Arial"/>
                <w:b/>
                <w:spacing w:val="-2"/>
                <w:sz w:val="22"/>
              </w:rPr>
              <w:t>GENERAL</w:t>
            </w:r>
          </w:p>
        </w:tc>
        <w:tc>
          <w:tcPr>
            <w:tcW w:w="3403" w:type="dxa"/>
          </w:tcPr>
          <w:p>
            <w:pPr>
              <w:pStyle w:val="TableParagraph"/>
              <w:spacing w:line="232" w:lineRule="exact" w:before="99"/>
              <w:ind w:left="574"/>
              <w:rPr>
                <w:rFonts w:ascii="Arial"/>
                <w:b/>
                <w:sz w:val="22"/>
              </w:rPr>
            </w:pPr>
            <w:r>
              <w:rPr>
                <w:rFonts w:ascii="Arial"/>
                <w:b/>
                <w:sz w:val="22"/>
              </w:rPr>
              <w:t>OBJETIVO</w:t>
            </w:r>
            <w:r>
              <w:rPr>
                <w:rFonts w:ascii="Arial"/>
                <w:b/>
                <w:spacing w:val="-9"/>
                <w:sz w:val="22"/>
              </w:rPr>
              <w:t> </w:t>
            </w:r>
            <w:r>
              <w:rPr>
                <w:rFonts w:ascii="Arial"/>
                <w:b/>
                <w:spacing w:val="-2"/>
                <w:sz w:val="22"/>
              </w:rPr>
              <w:t>GENERAL</w:t>
            </w:r>
          </w:p>
        </w:tc>
        <w:tc>
          <w:tcPr>
            <w:tcW w:w="3545" w:type="dxa"/>
          </w:tcPr>
          <w:p>
            <w:pPr>
              <w:pStyle w:val="TableParagraph"/>
              <w:spacing w:line="232" w:lineRule="exact" w:before="99"/>
              <w:ind w:left="613"/>
              <w:rPr>
                <w:rFonts w:ascii="Arial" w:hAnsi="Arial"/>
                <w:b/>
                <w:sz w:val="22"/>
              </w:rPr>
            </w:pPr>
            <w:r>
              <w:rPr>
                <w:rFonts w:ascii="Arial" w:hAnsi="Arial"/>
                <w:b/>
                <w:sz w:val="22"/>
              </w:rPr>
              <w:t>HIPÓTESIS</w:t>
            </w:r>
            <w:r>
              <w:rPr>
                <w:rFonts w:ascii="Arial" w:hAnsi="Arial"/>
                <w:b/>
                <w:spacing w:val="-5"/>
                <w:sz w:val="22"/>
              </w:rPr>
              <w:t> </w:t>
            </w:r>
            <w:r>
              <w:rPr>
                <w:rFonts w:ascii="Arial" w:hAnsi="Arial"/>
                <w:b/>
                <w:spacing w:val="-2"/>
                <w:sz w:val="22"/>
              </w:rPr>
              <w:t>GENERAL</w:t>
            </w:r>
          </w:p>
        </w:tc>
        <w:tc>
          <w:tcPr>
            <w:tcW w:w="1985" w:type="dxa"/>
          </w:tcPr>
          <w:p>
            <w:pPr>
              <w:pStyle w:val="TableParagraph"/>
              <w:spacing w:line="232" w:lineRule="exact" w:before="99"/>
              <w:ind w:left="353"/>
              <w:rPr>
                <w:rFonts w:ascii="Arial"/>
                <w:b/>
                <w:sz w:val="22"/>
              </w:rPr>
            </w:pPr>
            <w:r>
              <w:rPr>
                <w:rFonts w:ascii="Arial"/>
                <w:b/>
                <w:spacing w:val="-2"/>
                <w:sz w:val="22"/>
              </w:rPr>
              <w:t>VARIABLES</w:t>
            </w:r>
          </w:p>
        </w:tc>
        <w:tc>
          <w:tcPr>
            <w:tcW w:w="2825" w:type="dxa"/>
          </w:tcPr>
          <w:p>
            <w:pPr>
              <w:pStyle w:val="TableParagraph"/>
              <w:spacing w:line="232" w:lineRule="exact" w:before="99"/>
              <w:ind w:left="578"/>
              <w:rPr>
                <w:rFonts w:ascii="Arial" w:hAnsi="Arial"/>
                <w:b/>
                <w:sz w:val="22"/>
              </w:rPr>
            </w:pPr>
            <w:r>
              <w:rPr>
                <w:rFonts w:ascii="Arial" w:hAnsi="Arial"/>
                <w:b/>
                <w:spacing w:val="-2"/>
                <w:sz w:val="22"/>
              </w:rPr>
              <w:t>METODOLOGÍA</w:t>
            </w:r>
          </w:p>
        </w:tc>
      </w:tr>
      <w:tr>
        <w:trPr>
          <w:trHeight w:val="1242" w:hRule="atLeast"/>
        </w:trPr>
        <w:tc>
          <w:tcPr>
            <w:tcW w:w="3413" w:type="dxa"/>
          </w:tcPr>
          <w:p>
            <w:pPr>
              <w:pStyle w:val="TableParagraph"/>
              <w:rPr>
                <w:rFonts w:ascii="Times New Roman"/>
                <w:b/>
                <w:sz w:val="18"/>
              </w:rPr>
            </w:pPr>
          </w:p>
          <w:p>
            <w:pPr>
              <w:pStyle w:val="TableParagraph"/>
              <w:ind w:left="107" w:right="99"/>
              <w:jc w:val="both"/>
              <w:rPr>
                <w:sz w:val="18"/>
              </w:rPr>
            </w:pPr>
            <w:r>
              <w:rPr>
                <w:sz w:val="18"/>
              </w:rPr>
              <w:t>¿Cuál es la influencia del impuesto general de las ventas en la percepción económica de los comerciantes del centro</w:t>
            </w:r>
            <w:r>
              <w:rPr>
                <w:spacing w:val="74"/>
                <w:sz w:val="18"/>
              </w:rPr>
              <w:t> </w:t>
            </w:r>
            <w:r>
              <w:rPr>
                <w:sz w:val="18"/>
              </w:rPr>
              <w:t>de</w:t>
            </w:r>
            <w:r>
              <w:rPr>
                <w:spacing w:val="76"/>
                <w:sz w:val="18"/>
              </w:rPr>
              <w:t> </w:t>
            </w:r>
            <w:r>
              <w:rPr>
                <w:sz w:val="18"/>
              </w:rPr>
              <w:t>abastos</w:t>
            </w:r>
            <w:r>
              <w:rPr>
                <w:spacing w:val="76"/>
                <w:sz w:val="18"/>
              </w:rPr>
              <w:t> </w:t>
            </w:r>
            <w:r>
              <w:rPr>
                <w:sz w:val="18"/>
              </w:rPr>
              <w:t>las</w:t>
            </w:r>
            <w:r>
              <w:rPr>
                <w:spacing w:val="78"/>
                <w:sz w:val="18"/>
              </w:rPr>
              <w:t> </w:t>
            </w:r>
            <w:r>
              <w:rPr>
                <w:sz w:val="18"/>
              </w:rPr>
              <w:t>Mercedes</w:t>
            </w:r>
            <w:r>
              <w:rPr>
                <w:spacing w:val="76"/>
                <w:sz w:val="18"/>
              </w:rPr>
              <w:t> </w:t>
            </w:r>
            <w:r>
              <w:rPr>
                <w:spacing w:val="-5"/>
                <w:sz w:val="18"/>
              </w:rPr>
              <w:t>de</w:t>
            </w:r>
          </w:p>
          <w:p>
            <w:pPr>
              <w:pStyle w:val="TableParagraph"/>
              <w:spacing w:line="187" w:lineRule="exact"/>
              <w:ind w:left="107"/>
              <w:jc w:val="both"/>
              <w:rPr>
                <w:sz w:val="18"/>
              </w:rPr>
            </w:pPr>
            <w:r>
              <w:rPr>
                <w:sz w:val="18"/>
              </w:rPr>
              <w:t>Juliaca, </w:t>
            </w:r>
            <w:r>
              <w:rPr>
                <w:spacing w:val="-2"/>
                <w:sz w:val="18"/>
              </w:rPr>
              <w:t>2023?</w:t>
            </w:r>
          </w:p>
        </w:tc>
        <w:tc>
          <w:tcPr>
            <w:tcW w:w="3403" w:type="dxa"/>
          </w:tcPr>
          <w:p>
            <w:pPr>
              <w:pStyle w:val="TableParagraph"/>
              <w:ind w:left="106" w:right="98"/>
              <w:jc w:val="both"/>
              <w:rPr>
                <w:sz w:val="18"/>
              </w:rPr>
            </w:pPr>
            <w:r>
              <w:rPr>
                <w:sz w:val="18"/>
              </w:rPr>
              <w:t>Determinar</w:t>
            </w:r>
            <w:r>
              <w:rPr>
                <w:sz w:val="18"/>
              </w:rPr>
              <w:t> la</w:t>
            </w:r>
            <w:r>
              <w:rPr>
                <w:sz w:val="18"/>
              </w:rPr>
              <w:t> Influencia</w:t>
            </w:r>
            <w:r>
              <w:rPr>
                <w:sz w:val="18"/>
              </w:rPr>
              <w:t> de</w:t>
            </w:r>
            <w:r>
              <w:rPr>
                <w:sz w:val="18"/>
              </w:rPr>
              <w:t> impuesto general de las ventas en la percepción económica</w:t>
            </w:r>
            <w:r>
              <w:rPr>
                <w:sz w:val="18"/>
              </w:rPr>
              <w:t> de</w:t>
            </w:r>
            <w:r>
              <w:rPr>
                <w:sz w:val="18"/>
              </w:rPr>
              <w:t> los</w:t>
            </w:r>
            <w:r>
              <w:rPr>
                <w:sz w:val="18"/>
              </w:rPr>
              <w:t> comerciantes</w:t>
            </w:r>
            <w:r>
              <w:rPr>
                <w:sz w:val="18"/>
              </w:rPr>
              <w:t> del centro</w:t>
            </w:r>
            <w:r>
              <w:rPr>
                <w:sz w:val="18"/>
              </w:rPr>
              <w:t> de</w:t>
            </w:r>
            <w:r>
              <w:rPr>
                <w:sz w:val="18"/>
              </w:rPr>
              <w:t> abastos</w:t>
            </w:r>
            <w:r>
              <w:rPr>
                <w:sz w:val="18"/>
              </w:rPr>
              <w:t> las</w:t>
            </w:r>
            <w:r>
              <w:rPr>
                <w:sz w:val="18"/>
              </w:rPr>
              <w:t> Mercedes</w:t>
            </w:r>
            <w:r>
              <w:rPr>
                <w:sz w:val="18"/>
              </w:rPr>
              <w:t> de Juliaca, 2023.</w:t>
            </w:r>
          </w:p>
        </w:tc>
        <w:tc>
          <w:tcPr>
            <w:tcW w:w="3545" w:type="dxa"/>
          </w:tcPr>
          <w:p>
            <w:pPr>
              <w:pStyle w:val="TableParagraph"/>
              <w:ind w:left="106" w:right="99"/>
              <w:jc w:val="both"/>
              <w:rPr>
                <w:sz w:val="18"/>
              </w:rPr>
            </w:pPr>
            <w:r>
              <w:rPr>
                <w:sz w:val="18"/>
              </w:rPr>
              <w:t>El impuesto general de las ventas influye significativamente en la percepción económica de los comerciantes en el centro de abastos las Mercedes de Juliaca, 2023.</w:t>
            </w:r>
          </w:p>
        </w:tc>
        <w:tc>
          <w:tcPr>
            <w:tcW w:w="1985" w:type="dxa"/>
            <w:vMerge w:val="restart"/>
          </w:tcPr>
          <w:p>
            <w:pPr>
              <w:pStyle w:val="TableParagraph"/>
              <w:spacing w:before="206"/>
              <w:rPr>
                <w:rFonts w:ascii="Times New Roman"/>
                <w:b/>
                <w:sz w:val="18"/>
              </w:rPr>
            </w:pPr>
          </w:p>
          <w:p>
            <w:pPr>
              <w:pStyle w:val="TableParagraph"/>
              <w:ind w:left="105"/>
              <w:rPr>
                <w:rFonts w:ascii="Arial"/>
                <w:b/>
                <w:sz w:val="18"/>
              </w:rPr>
            </w:pPr>
            <w:r>
              <w:rPr>
                <w:rFonts w:ascii="Arial"/>
                <w:b/>
                <w:spacing w:val="-2"/>
                <w:sz w:val="18"/>
              </w:rPr>
              <w:t>Variable Independiente:</w:t>
            </w:r>
          </w:p>
          <w:p>
            <w:pPr>
              <w:pStyle w:val="TableParagraph"/>
              <w:spacing w:before="1"/>
              <w:rPr>
                <w:rFonts w:ascii="Times New Roman"/>
                <w:b/>
                <w:sz w:val="18"/>
              </w:rPr>
            </w:pPr>
          </w:p>
          <w:p>
            <w:pPr>
              <w:pStyle w:val="TableParagraph"/>
              <w:ind w:left="105" w:right="109"/>
              <w:rPr>
                <w:rFonts w:ascii="Arial"/>
                <w:b/>
                <w:sz w:val="18"/>
              </w:rPr>
            </w:pPr>
            <w:r>
              <w:rPr>
                <w:rFonts w:ascii="Arial"/>
                <w:b/>
                <w:spacing w:val="-2"/>
                <w:sz w:val="18"/>
              </w:rPr>
              <w:t>IMPUESTO </w:t>
            </w:r>
            <w:r>
              <w:rPr>
                <w:rFonts w:ascii="Arial"/>
                <w:b/>
                <w:sz w:val="18"/>
              </w:rPr>
              <w:t>GENERAL</w:t>
            </w:r>
            <w:r>
              <w:rPr>
                <w:rFonts w:ascii="Arial"/>
                <w:b/>
                <w:spacing w:val="-15"/>
                <w:sz w:val="18"/>
              </w:rPr>
              <w:t> </w:t>
            </w:r>
            <w:r>
              <w:rPr>
                <w:rFonts w:ascii="Arial"/>
                <w:b/>
                <w:sz w:val="18"/>
              </w:rPr>
              <w:t>DE</w:t>
            </w:r>
            <w:r>
              <w:rPr>
                <w:rFonts w:ascii="Arial"/>
                <w:b/>
                <w:spacing w:val="-12"/>
                <w:sz w:val="18"/>
              </w:rPr>
              <w:t> </w:t>
            </w:r>
            <w:r>
              <w:rPr>
                <w:rFonts w:ascii="Arial"/>
                <w:b/>
                <w:sz w:val="18"/>
              </w:rPr>
              <w:t>LAS </w:t>
            </w:r>
            <w:r>
              <w:rPr>
                <w:rFonts w:ascii="Arial"/>
                <w:b/>
                <w:spacing w:val="-2"/>
                <w:sz w:val="18"/>
              </w:rPr>
              <w:t>VENTAS</w:t>
            </w:r>
          </w:p>
          <w:p>
            <w:pPr>
              <w:pStyle w:val="TableParagraph"/>
              <w:numPr>
                <w:ilvl w:val="0"/>
                <w:numId w:val="21"/>
              </w:numPr>
              <w:tabs>
                <w:tab w:pos="419" w:val="left" w:leader="none"/>
                <w:tab w:pos="421" w:val="left" w:leader="none"/>
              </w:tabs>
              <w:spacing w:line="240" w:lineRule="auto" w:before="0" w:after="0"/>
              <w:ind w:left="421" w:right="671" w:hanging="317"/>
              <w:jc w:val="left"/>
              <w:rPr>
                <w:sz w:val="18"/>
              </w:rPr>
            </w:pPr>
            <w:r>
              <w:rPr>
                <w:spacing w:val="-2"/>
                <w:sz w:val="18"/>
              </w:rPr>
              <w:t>Estabilidad económica</w:t>
            </w:r>
          </w:p>
          <w:p>
            <w:pPr>
              <w:pStyle w:val="TableParagraph"/>
              <w:numPr>
                <w:ilvl w:val="0"/>
                <w:numId w:val="21"/>
              </w:numPr>
              <w:tabs>
                <w:tab w:pos="420" w:val="left" w:leader="none"/>
              </w:tabs>
              <w:spacing w:line="240" w:lineRule="auto" w:before="0" w:after="0"/>
              <w:ind w:left="420" w:right="0" w:hanging="315"/>
              <w:jc w:val="left"/>
              <w:rPr>
                <w:sz w:val="18"/>
              </w:rPr>
            </w:pPr>
            <w:r>
              <w:rPr>
                <w:spacing w:val="-2"/>
                <w:sz w:val="18"/>
              </w:rPr>
              <w:t>Liquidez</w:t>
            </w:r>
          </w:p>
          <w:p>
            <w:pPr>
              <w:pStyle w:val="TableParagraph"/>
              <w:spacing w:line="206" w:lineRule="exact" w:before="1"/>
              <w:ind w:right="681"/>
              <w:jc w:val="right"/>
              <w:rPr>
                <w:sz w:val="18"/>
              </w:rPr>
            </w:pPr>
            <w:r>
              <w:rPr>
                <w:spacing w:val="-2"/>
                <w:sz w:val="18"/>
              </w:rPr>
              <w:t>económica</w:t>
            </w:r>
          </w:p>
          <w:p>
            <w:pPr>
              <w:pStyle w:val="TableParagraph"/>
              <w:numPr>
                <w:ilvl w:val="0"/>
                <w:numId w:val="21"/>
              </w:numPr>
              <w:tabs>
                <w:tab w:pos="419" w:val="left" w:leader="none"/>
                <w:tab w:pos="421" w:val="left" w:leader="none"/>
              </w:tabs>
              <w:spacing w:line="240" w:lineRule="auto" w:before="0" w:after="0"/>
              <w:ind w:left="421" w:right="681" w:hanging="317"/>
              <w:jc w:val="right"/>
              <w:rPr>
                <w:sz w:val="18"/>
              </w:rPr>
            </w:pPr>
            <w:r>
              <w:rPr>
                <w:spacing w:val="-2"/>
                <w:sz w:val="18"/>
              </w:rPr>
              <w:t>Seguridad económica</w:t>
            </w:r>
          </w:p>
          <w:p>
            <w:pPr>
              <w:pStyle w:val="TableParagraph"/>
              <w:spacing w:before="206"/>
              <w:rPr>
                <w:rFonts w:ascii="Times New Roman"/>
                <w:b/>
                <w:sz w:val="18"/>
              </w:rPr>
            </w:pPr>
          </w:p>
          <w:p>
            <w:pPr>
              <w:pStyle w:val="TableParagraph"/>
              <w:ind w:left="105" w:right="109"/>
              <w:rPr>
                <w:rFonts w:ascii="Arial"/>
                <w:b/>
                <w:sz w:val="18"/>
              </w:rPr>
            </w:pPr>
            <w:r>
              <w:rPr>
                <w:rFonts w:ascii="Arial"/>
                <w:b/>
                <w:spacing w:val="-2"/>
                <w:sz w:val="18"/>
              </w:rPr>
              <w:t>Variable dependiente:</w:t>
            </w:r>
          </w:p>
          <w:p>
            <w:pPr>
              <w:pStyle w:val="TableParagraph"/>
              <w:spacing w:before="1"/>
              <w:rPr>
                <w:rFonts w:ascii="Times New Roman"/>
                <w:b/>
                <w:sz w:val="18"/>
              </w:rPr>
            </w:pPr>
          </w:p>
          <w:p>
            <w:pPr>
              <w:pStyle w:val="TableParagraph"/>
              <w:ind w:left="105"/>
              <w:rPr>
                <w:rFonts w:ascii="Arial" w:hAnsi="Arial"/>
                <w:b/>
                <w:sz w:val="18"/>
              </w:rPr>
            </w:pPr>
            <w:r>
              <w:rPr>
                <w:rFonts w:ascii="Arial" w:hAnsi="Arial"/>
                <w:b/>
                <w:spacing w:val="-2"/>
                <w:sz w:val="18"/>
              </w:rPr>
              <w:t>PERCEPCIÓN ECONÓMICA</w:t>
            </w:r>
          </w:p>
          <w:p>
            <w:pPr>
              <w:pStyle w:val="TableParagraph"/>
              <w:numPr>
                <w:ilvl w:val="0"/>
                <w:numId w:val="22"/>
              </w:numPr>
              <w:tabs>
                <w:tab w:pos="465" w:val="left" w:leader="none"/>
              </w:tabs>
              <w:spacing w:line="206" w:lineRule="exact" w:before="0" w:after="0"/>
              <w:ind w:left="465" w:right="0" w:hanging="360"/>
              <w:jc w:val="left"/>
              <w:rPr>
                <w:sz w:val="18"/>
              </w:rPr>
            </w:pPr>
            <w:r>
              <w:rPr>
                <w:spacing w:val="-2"/>
                <w:sz w:val="18"/>
              </w:rPr>
              <w:t>Actividad</w:t>
            </w:r>
          </w:p>
          <w:p>
            <w:pPr>
              <w:pStyle w:val="TableParagraph"/>
              <w:numPr>
                <w:ilvl w:val="0"/>
                <w:numId w:val="22"/>
              </w:numPr>
              <w:tabs>
                <w:tab w:pos="465" w:val="left" w:leader="none"/>
              </w:tabs>
              <w:spacing w:line="206" w:lineRule="exact" w:before="0" w:after="0"/>
              <w:ind w:left="465" w:right="0" w:hanging="360"/>
              <w:jc w:val="left"/>
              <w:rPr>
                <w:sz w:val="18"/>
              </w:rPr>
            </w:pPr>
            <w:r>
              <w:rPr>
                <w:spacing w:val="-2"/>
                <w:sz w:val="18"/>
              </w:rPr>
              <w:t>Responsabilidad</w:t>
            </w:r>
          </w:p>
          <w:p>
            <w:pPr>
              <w:pStyle w:val="TableParagraph"/>
              <w:numPr>
                <w:ilvl w:val="0"/>
                <w:numId w:val="22"/>
              </w:numPr>
              <w:tabs>
                <w:tab w:pos="465" w:val="left" w:leader="none"/>
              </w:tabs>
              <w:spacing w:line="240" w:lineRule="auto" w:before="1" w:after="0"/>
              <w:ind w:left="465" w:right="548" w:hanging="361"/>
              <w:jc w:val="left"/>
              <w:rPr>
                <w:sz w:val="18"/>
              </w:rPr>
            </w:pPr>
            <w:r>
              <w:rPr>
                <w:spacing w:val="-2"/>
                <w:sz w:val="18"/>
              </w:rPr>
              <w:t>Crecimiento comercial</w:t>
            </w:r>
          </w:p>
        </w:tc>
        <w:tc>
          <w:tcPr>
            <w:tcW w:w="2825" w:type="dxa"/>
            <w:vMerge w:val="restart"/>
          </w:tcPr>
          <w:p>
            <w:pPr>
              <w:pStyle w:val="TableParagraph"/>
              <w:rPr>
                <w:rFonts w:ascii="Times New Roman"/>
                <w:b/>
                <w:sz w:val="18"/>
              </w:rPr>
            </w:pPr>
          </w:p>
          <w:p>
            <w:pPr>
              <w:pStyle w:val="TableParagraph"/>
              <w:spacing w:line="480" w:lineRule="auto"/>
              <w:ind w:left="106" w:right="811"/>
              <w:rPr>
                <w:sz w:val="18"/>
              </w:rPr>
            </w:pPr>
            <w:r>
              <w:rPr>
                <w:rFonts w:ascii="Arial" w:hAnsi="Arial"/>
                <w:b/>
                <w:sz w:val="18"/>
              </w:rPr>
              <w:t>ENFOQUE</w:t>
            </w:r>
            <w:r>
              <w:rPr>
                <w:rFonts w:ascii="Arial" w:hAnsi="Arial"/>
                <w:b/>
                <w:spacing w:val="-13"/>
                <w:sz w:val="18"/>
              </w:rPr>
              <w:t> </w:t>
            </w:r>
            <w:r>
              <w:rPr>
                <w:sz w:val="18"/>
              </w:rPr>
              <w:t>Cuantitativo </w:t>
            </w:r>
            <w:r>
              <w:rPr>
                <w:rFonts w:ascii="Arial" w:hAnsi="Arial"/>
                <w:b/>
                <w:sz w:val="18"/>
              </w:rPr>
              <w:t>MÉTODO</w:t>
            </w:r>
            <w:r>
              <w:rPr>
                <w:sz w:val="18"/>
              </w:rPr>
              <w:t>: Deductivo </w:t>
            </w:r>
            <w:r>
              <w:rPr>
                <w:rFonts w:ascii="Arial" w:hAnsi="Arial"/>
                <w:b/>
                <w:sz w:val="18"/>
              </w:rPr>
              <w:t>TIPO</w:t>
            </w:r>
            <w:r>
              <w:rPr>
                <w:sz w:val="18"/>
              </w:rPr>
              <w:t>: Aplicado</w:t>
            </w:r>
          </w:p>
          <w:p>
            <w:pPr>
              <w:pStyle w:val="TableParagraph"/>
              <w:ind w:left="106"/>
              <w:rPr>
                <w:sz w:val="18"/>
              </w:rPr>
            </w:pPr>
            <w:r>
              <w:rPr>
                <w:rFonts w:ascii="Arial"/>
                <w:b/>
                <w:sz w:val="18"/>
              </w:rPr>
              <w:t>NIVEL</w:t>
            </w:r>
            <w:r>
              <w:rPr>
                <w:sz w:val="18"/>
              </w:rPr>
              <w:t>:</w:t>
            </w:r>
            <w:r>
              <w:rPr>
                <w:spacing w:val="-2"/>
                <w:sz w:val="18"/>
              </w:rPr>
              <w:t> Explicativo</w:t>
            </w:r>
          </w:p>
          <w:p>
            <w:pPr>
              <w:pStyle w:val="TableParagraph"/>
              <w:rPr>
                <w:rFonts w:ascii="Times New Roman"/>
                <w:b/>
                <w:sz w:val="18"/>
              </w:rPr>
            </w:pPr>
          </w:p>
          <w:p>
            <w:pPr>
              <w:pStyle w:val="TableParagraph"/>
              <w:spacing w:before="1"/>
              <w:ind w:left="106"/>
              <w:rPr>
                <w:sz w:val="18"/>
              </w:rPr>
            </w:pPr>
            <w:r>
              <w:rPr>
                <w:rFonts w:ascii="Arial" w:hAnsi="Arial"/>
                <w:b/>
                <w:sz w:val="18"/>
              </w:rPr>
              <w:t>DISEÑO</w:t>
            </w:r>
            <w:r>
              <w:rPr>
                <w:sz w:val="18"/>
              </w:rPr>
              <w:t>:</w:t>
            </w:r>
            <w:r>
              <w:rPr>
                <w:spacing w:val="-4"/>
                <w:sz w:val="18"/>
              </w:rPr>
              <w:t> </w:t>
            </w:r>
            <w:r>
              <w:rPr>
                <w:sz w:val="18"/>
              </w:rPr>
              <w:t>No</w:t>
            </w:r>
            <w:r>
              <w:rPr>
                <w:spacing w:val="-3"/>
                <w:sz w:val="18"/>
              </w:rPr>
              <w:t> </w:t>
            </w:r>
            <w:r>
              <w:rPr>
                <w:spacing w:val="-2"/>
                <w:sz w:val="18"/>
              </w:rPr>
              <w:t>experimental.</w:t>
            </w:r>
          </w:p>
          <w:p>
            <w:pPr>
              <w:pStyle w:val="TableParagraph"/>
              <w:spacing w:before="99"/>
              <w:ind w:left="106"/>
              <w:rPr>
                <w:sz w:val="18"/>
              </w:rPr>
            </w:pPr>
            <w:r>
              <w:rPr>
                <w:rFonts w:ascii="Arial" w:hAnsi="Arial"/>
                <w:b/>
                <w:spacing w:val="-2"/>
                <w:sz w:val="18"/>
              </w:rPr>
              <w:t>POBLACIÓN</w:t>
            </w:r>
            <w:r>
              <w:rPr>
                <w:spacing w:val="-2"/>
                <w:sz w:val="18"/>
              </w:rPr>
              <w:t>:</w:t>
            </w:r>
          </w:p>
          <w:p>
            <w:pPr>
              <w:pStyle w:val="TableParagraph"/>
              <w:spacing w:before="101"/>
              <w:ind w:left="106" w:right="98"/>
              <w:jc w:val="both"/>
              <w:rPr>
                <w:sz w:val="18"/>
              </w:rPr>
            </w:pPr>
            <w:r>
              <w:rPr>
                <w:sz w:val="18"/>
              </w:rPr>
              <w:t>La población de estudio estará compuesta</w:t>
            </w:r>
            <w:r>
              <w:rPr>
                <w:spacing w:val="-7"/>
                <w:sz w:val="18"/>
              </w:rPr>
              <w:t> </w:t>
            </w:r>
            <w:r>
              <w:rPr>
                <w:sz w:val="18"/>
              </w:rPr>
              <w:t>por</w:t>
            </w:r>
            <w:r>
              <w:rPr>
                <w:spacing w:val="-7"/>
                <w:sz w:val="18"/>
              </w:rPr>
              <w:t> </w:t>
            </w:r>
            <w:r>
              <w:rPr>
                <w:sz w:val="18"/>
              </w:rPr>
              <w:t>los</w:t>
            </w:r>
            <w:r>
              <w:rPr>
                <w:spacing w:val="-7"/>
                <w:sz w:val="18"/>
              </w:rPr>
              <w:t> </w:t>
            </w:r>
            <w:r>
              <w:rPr>
                <w:sz w:val="18"/>
              </w:rPr>
              <w:t>comerciantes del Centro de Abastos Las Mercedes de Juliaca durante </w:t>
            </w:r>
            <w:r>
              <w:rPr>
                <w:sz w:val="18"/>
              </w:rPr>
              <w:t>el año 2023. Esto incluye a todos los comerciantes que operan en dicho centro durante el periodo mencionado,</w:t>
            </w:r>
            <w:r>
              <w:rPr>
                <w:spacing w:val="-13"/>
                <w:sz w:val="18"/>
              </w:rPr>
              <w:t> </w:t>
            </w:r>
            <w:r>
              <w:rPr>
                <w:sz w:val="18"/>
              </w:rPr>
              <w:t>lo</w:t>
            </w:r>
            <w:r>
              <w:rPr>
                <w:spacing w:val="-12"/>
                <w:sz w:val="18"/>
              </w:rPr>
              <w:t> </w:t>
            </w:r>
            <w:r>
              <w:rPr>
                <w:sz w:val="18"/>
              </w:rPr>
              <w:t>que</w:t>
            </w:r>
            <w:r>
              <w:rPr>
                <w:spacing w:val="-13"/>
                <w:sz w:val="18"/>
              </w:rPr>
              <w:t> </w:t>
            </w:r>
            <w:r>
              <w:rPr>
                <w:sz w:val="18"/>
              </w:rPr>
              <w:t>se</w:t>
            </w:r>
            <w:r>
              <w:rPr>
                <w:spacing w:val="-12"/>
                <w:sz w:val="18"/>
              </w:rPr>
              <w:t> </w:t>
            </w:r>
            <w:r>
              <w:rPr>
                <w:sz w:val="18"/>
              </w:rPr>
              <w:t>estima</w:t>
            </w:r>
            <w:r>
              <w:rPr>
                <w:spacing w:val="-13"/>
                <w:sz w:val="18"/>
              </w:rPr>
              <w:t> </w:t>
            </w:r>
            <w:r>
              <w:rPr>
                <w:sz w:val="18"/>
              </w:rPr>
              <w:t>en un total de aproximadamente 318 comerciantes.</w:t>
            </w:r>
          </w:p>
          <w:p>
            <w:pPr>
              <w:pStyle w:val="TableParagraph"/>
              <w:spacing w:line="206" w:lineRule="exact" w:before="100"/>
              <w:ind w:left="106"/>
              <w:rPr>
                <w:rFonts w:ascii="Arial"/>
                <w:b/>
                <w:sz w:val="18"/>
              </w:rPr>
            </w:pPr>
            <w:r>
              <w:rPr>
                <w:rFonts w:ascii="Arial"/>
                <w:b/>
                <w:spacing w:val="-2"/>
                <w:sz w:val="18"/>
              </w:rPr>
              <w:t>MUESTRA</w:t>
            </w:r>
          </w:p>
          <w:p>
            <w:pPr>
              <w:pStyle w:val="TableParagraph"/>
              <w:spacing w:line="276" w:lineRule="auto"/>
              <w:ind w:left="106" w:right="58"/>
              <w:rPr>
                <w:sz w:val="18"/>
              </w:rPr>
            </w:pPr>
            <w:r>
              <w:rPr>
                <w:sz w:val="18"/>
              </w:rPr>
              <w:t>De</w:t>
            </w:r>
            <w:r>
              <w:rPr>
                <w:spacing w:val="-7"/>
                <w:sz w:val="18"/>
              </w:rPr>
              <w:t> </w:t>
            </w:r>
            <w:r>
              <w:rPr>
                <w:sz w:val="18"/>
              </w:rPr>
              <w:t>acuerdo</w:t>
            </w:r>
            <w:r>
              <w:rPr>
                <w:spacing w:val="-7"/>
                <w:sz w:val="18"/>
              </w:rPr>
              <w:t> </w:t>
            </w:r>
            <w:r>
              <w:rPr>
                <w:sz w:val="18"/>
              </w:rPr>
              <w:t>a</w:t>
            </w:r>
            <w:r>
              <w:rPr>
                <w:spacing w:val="-7"/>
                <w:sz w:val="18"/>
              </w:rPr>
              <w:t> </w:t>
            </w:r>
            <w:r>
              <w:rPr>
                <w:sz w:val="18"/>
              </w:rPr>
              <w:t>la</w:t>
            </w:r>
            <w:r>
              <w:rPr>
                <w:spacing w:val="-7"/>
                <w:sz w:val="18"/>
              </w:rPr>
              <w:t> </w:t>
            </w:r>
            <w:r>
              <w:rPr>
                <w:sz w:val="18"/>
              </w:rPr>
              <w:t>fórmula</w:t>
            </w:r>
            <w:r>
              <w:rPr>
                <w:spacing w:val="-6"/>
                <w:sz w:val="18"/>
              </w:rPr>
              <w:t> </w:t>
            </w:r>
            <w:r>
              <w:rPr>
                <w:sz w:val="18"/>
              </w:rPr>
              <w:t>es</w:t>
            </w:r>
            <w:r>
              <w:rPr>
                <w:spacing w:val="-7"/>
                <w:sz w:val="18"/>
              </w:rPr>
              <w:t> </w:t>
            </w:r>
            <w:r>
              <w:rPr>
                <w:sz w:val="18"/>
              </w:rPr>
              <w:t>de 174 comerciantes.</w:t>
            </w:r>
          </w:p>
          <w:p>
            <w:pPr>
              <w:pStyle w:val="TableParagraph"/>
              <w:spacing w:before="200"/>
              <w:ind w:left="660" w:firstLine="204"/>
              <w:rPr>
                <w:rFonts w:ascii="Arial" w:hAnsi="Arial"/>
                <w:b/>
                <w:sz w:val="18"/>
              </w:rPr>
            </w:pPr>
            <w:r>
              <w:rPr>
                <w:rFonts w:ascii="Arial" w:hAnsi="Arial"/>
                <w:b/>
                <w:sz w:val="18"/>
              </w:rPr>
              <w:t>TÉCNICAS E </w:t>
            </w:r>
            <w:r>
              <w:rPr>
                <w:rFonts w:ascii="Arial" w:hAnsi="Arial"/>
                <w:b/>
                <w:spacing w:val="-2"/>
                <w:sz w:val="18"/>
              </w:rPr>
              <w:t>INSTRUMENTOS:</w:t>
            </w:r>
          </w:p>
          <w:p>
            <w:pPr>
              <w:pStyle w:val="TableParagraph"/>
              <w:spacing w:before="200"/>
              <w:ind w:left="106"/>
              <w:rPr>
                <w:sz w:val="18"/>
              </w:rPr>
            </w:pPr>
            <w:r>
              <w:rPr>
                <w:rFonts w:ascii="Arial"/>
                <w:b/>
                <w:sz w:val="18"/>
              </w:rPr>
              <w:t>TECNICA:</w:t>
            </w:r>
            <w:r>
              <w:rPr>
                <w:rFonts w:ascii="Arial"/>
                <w:b/>
                <w:spacing w:val="-7"/>
                <w:sz w:val="18"/>
              </w:rPr>
              <w:t> </w:t>
            </w:r>
            <w:r>
              <w:rPr>
                <w:spacing w:val="-2"/>
                <w:sz w:val="18"/>
              </w:rPr>
              <w:t>Encuesta</w:t>
            </w:r>
          </w:p>
          <w:p>
            <w:pPr>
              <w:pStyle w:val="TableParagraph"/>
              <w:spacing w:before="201"/>
              <w:ind w:left="106"/>
              <w:rPr>
                <w:sz w:val="18"/>
              </w:rPr>
            </w:pPr>
            <w:r>
              <w:rPr>
                <w:rFonts w:ascii="Arial"/>
                <w:b/>
                <w:sz w:val="18"/>
              </w:rPr>
              <w:t>INSTRUMENTO:</w:t>
            </w:r>
            <w:r>
              <w:rPr>
                <w:rFonts w:ascii="Arial"/>
                <w:b/>
                <w:spacing w:val="-7"/>
                <w:sz w:val="18"/>
              </w:rPr>
              <w:t> </w:t>
            </w:r>
            <w:r>
              <w:rPr>
                <w:spacing w:val="-2"/>
                <w:sz w:val="18"/>
              </w:rPr>
              <w:t>Cuestionario</w:t>
            </w:r>
          </w:p>
        </w:tc>
      </w:tr>
      <w:tr>
        <w:trPr>
          <w:trHeight w:val="437" w:hRule="atLeast"/>
        </w:trPr>
        <w:tc>
          <w:tcPr>
            <w:tcW w:w="3413" w:type="dxa"/>
          </w:tcPr>
          <w:p>
            <w:pPr>
              <w:pStyle w:val="TableParagraph"/>
              <w:spacing w:before="99"/>
              <w:ind w:left="107"/>
              <w:rPr>
                <w:rFonts w:ascii="Arial" w:hAnsi="Arial"/>
                <w:b/>
                <w:sz w:val="18"/>
              </w:rPr>
            </w:pPr>
            <w:r>
              <w:rPr>
                <w:rFonts w:ascii="Arial" w:hAnsi="Arial"/>
                <w:b/>
                <w:spacing w:val="-2"/>
                <w:sz w:val="18"/>
              </w:rPr>
              <w:t>PROBLEMAS</w:t>
            </w:r>
            <w:r>
              <w:rPr>
                <w:rFonts w:ascii="Arial" w:hAnsi="Arial"/>
                <w:b/>
                <w:spacing w:val="-5"/>
                <w:sz w:val="18"/>
              </w:rPr>
              <w:t> </w:t>
            </w:r>
            <w:r>
              <w:rPr>
                <w:rFonts w:ascii="Arial" w:hAnsi="Arial"/>
                <w:b/>
                <w:spacing w:val="-2"/>
                <w:sz w:val="18"/>
              </w:rPr>
              <w:t>ESPECÍFICOS</w:t>
            </w:r>
          </w:p>
        </w:tc>
        <w:tc>
          <w:tcPr>
            <w:tcW w:w="3403" w:type="dxa"/>
          </w:tcPr>
          <w:p>
            <w:pPr>
              <w:pStyle w:val="TableParagraph"/>
              <w:spacing w:before="99"/>
              <w:ind w:left="106"/>
              <w:rPr>
                <w:rFonts w:ascii="Arial" w:hAnsi="Arial"/>
                <w:b/>
                <w:sz w:val="18"/>
              </w:rPr>
            </w:pPr>
            <w:r>
              <w:rPr>
                <w:rFonts w:ascii="Arial" w:hAnsi="Arial"/>
                <w:b/>
                <w:sz w:val="18"/>
              </w:rPr>
              <w:t>OBJETIVOS</w:t>
            </w:r>
            <w:r>
              <w:rPr>
                <w:rFonts w:ascii="Arial" w:hAnsi="Arial"/>
                <w:b/>
                <w:spacing w:val="1"/>
                <w:sz w:val="18"/>
              </w:rPr>
              <w:t> </w:t>
            </w:r>
            <w:r>
              <w:rPr>
                <w:rFonts w:ascii="Arial" w:hAnsi="Arial"/>
                <w:b/>
                <w:spacing w:val="-2"/>
                <w:sz w:val="18"/>
              </w:rPr>
              <w:t>ESPECÍFICOS</w:t>
            </w:r>
          </w:p>
        </w:tc>
        <w:tc>
          <w:tcPr>
            <w:tcW w:w="3545" w:type="dxa"/>
          </w:tcPr>
          <w:p>
            <w:pPr>
              <w:pStyle w:val="TableParagraph"/>
              <w:spacing w:before="99"/>
              <w:ind w:left="106"/>
              <w:rPr>
                <w:rFonts w:ascii="Arial" w:hAnsi="Arial"/>
                <w:b/>
                <w:sz w:val="18"/>
              </w:rPr>
            </w:pPr>
            <w:r>
              <w:rPr>
                <w:rFonts w:ascii="Arial" w:hAnsi="Arial"/>
                <w:b/>
                <w:sz w:val="18"/>
              </w:rPr>
              <w:t>HIPÓTESIS</w:t>
            </w:r>
            <w:r>
              <w:rPr>
                <w:rFonts w:ascii="Arial" w:hAnsi="Arial"/>
                <w:b/>
                <w:spacing w:val="1"/>
                <w:sz w:val="18"/>
              </w:rPr>
              <w:t> </w:t>
            </w:r>
            <w:r>
              <w:rPr>
                <w:rFonts w:ascii="Arial" w:hAnsi="Arial"/>
                <w:b/>
                <w:spacing w:val="-2"/>
                <w:sz w:val="18"/>
              </w:rPr>
              <w:t>ESPECÍFICOS</w:t>
            </w:r>
          </w:p>
        </w:tc>
        <w:tc>
          <w:tcPr>
            <w:tcW w:w="1985" w:type="dxa"/>
            <w:vMerge/>
            <w:tcBorders>
              <w:top w:val="nil"/>
            </w:tcBorders>
          </w:tcPr>
          <w:p>
            <w:pPr>
              <w:rPr>
                <w:sz w:val="2"/>
                <w:szCs w:val="2"/>
              </w:rPr>
            </w:pPr>
          </w:p>
        </w:tc>
        <w:tc>
          <w:tcPr>
            <w:tcW w:w="2825" w:type="dxa"/>
            <w:vMerge/>
            <w:tcBorders>
              <w:top w:val="nil"/>
            </w:tcBorders>
          </w:tcPr>
          <w:p>
            <w:pPr>
              <w:rPr>
                <w:sz w:val="2"/>
                <w:szCs w:val="2"/>
              </w:rPr>
            </w:pPr>
          </w:p>
        </w:tc>
      </w:tr>
      <w:tr>
        <w:trPr>
          <w:trHeight w:val="5259" w:hRule="atLeast"/>
        </w:trPr>
        <w:tc>
          <w:tcPr>
            <w:tcW w:w="3413" w:type="dxa"/>
          </w:tcPr>
          <w:p>
            <w:pPr>
              <w:pStyle w:val="TableParagraph"/>
              <w:numPr>
                <w:ilvl w:val="0"/>
                <w:numId w:val="23"/>
              </w:numPr>
              <w:tabs>
                <w:tab w:pos="826" w:val="left" w:leader="none"/>
                <w:tab w:pos="876" w:val="left" w:leader="none"/>
              </w:tabs>
              <w:spacing w:line="240" w:lineRule="auto" w:before="0" w:after="0"/>
              <w:ind w:left="826" w:right="242" w:hanging="360"/>
              <w:jc w:val="left"/>
              <w:rPr>
                <w:sz w:val="18"/>
              </w:rPr>
            </w:pPr>
            <w:r>
              <w:rPr>
                <w:sz w:val="18"/>
              </w:rPr>
              <w:t>¿Cuál</w:t>
            </w:r>
            <w:r>
              <w:rPr>
                <w:spacing w:val="40"/>
                <w:sz w:val="18"/>
              </w:rPr>
              <w:t> </w:t>
            </w:r>
            <w:r>
              <w:rPr>
                <w:sz w:val="18"/>
              </w:rPr>
              <w:t>es influencia de la estabilidad económica en la percepción</w:t>
            </w:r>
            <w:r>
              <w:rPr>
                <w:spacing w:val="-13"/>
                <w:sz w:val="18"/>
              </w:rPr>
              <w:t> </w:t>
            </w:r>
            <w:r>
              <w:rPr>
                <w:sz w:val="18"/>
              </w:rPr>
              <w:t>económica</w:t>
            </w:r>
            <w:r>
              <w:rPr>
                <w:spacing w:val="-12"/>
                <w:sz w:val="18"/>
              </w:rPr>
              <w:t> </w:t>
            </w:r>
            <w:r>
              <w:rPr>
                <w:sz w:val="18"/>
              </w:rPr>
              <w:t>de</w:t>
            </w:r>
            <w:r>
              <w:rPr>
                <w:spacing w:val="-13"/>
                <w:sz w:val="18"/>
              </w:rPr>
              <w:t> </w:t>
            </w:r>
            <w:r>
              <w:rPr>
                <w:sz w:val="18"/>
              </w:rPr>
              <w:t>los comerciantes del centro de abastos las Mercedes de Juliaca, 2023?</w:t>
            </w:r>
          </w:p>
          <w:p>
            <w:pPr>
              <w:pStyle w:val="TableParagraph"/>
              <w:spacing w:before="158"/>
              <w:rPr>
                <w:rFonts w:ascii="Times New Roman"/>
                <w:b/>
                <w:sz w:val="18"/>
              </w:rPr>
            </w:pPr>
          </w:p>
          <w:p>
            <w:pPr>
              <w:pStyle w:val="TableParagraph"/>
              <w:numPr>
                <w:ilvl w:val="0"/>
                <w:numId w:val="23"/>
              </w:numPr>
              <w:tabs>
                <w:tab w:pos="826" w:val="left" w:leader="none"/>
              </w:tabs>
              <w:spacing w:line="240" w:lineRule="auto" w:before="1" w:after="0"/>
              <w:ind w:left="826" w:right="242" w:hanging="360"/>
              <w:jc w:val="left"/>
              <w:rPr>
                <w:sz w:val="18"/>
              </w:rPr>
            </w:pPr>
            <w:r>
              <w:rPr>
                <w:sz w:val="18"/>
              </w:rPr>
              <w:t>¿Cuál es influencia de la liquidez económica en la percepción</w:t>
            </w:r>
            <w:r>
              <w:rPr>
                <w:spacing w:val="-13"/>
                <w:sz w:val="18"/>
              </w:rPr>
              <w:t> </w:t>
            </w:r>
            <w:r>
              <w:rPr>
                <w:sz w:val="18"/>
              </w:rPr>
              <w:t>económica</w:t>
            </w:r>
            <w:r>
              <w:rPr>
                <w:spacing w:val="-12"/>
                <w:sz w:val="18"/>
              </w:rPr>
              <w:t> </w:t>
            </w:r>
            <w:r>
              <w:rPr>
                <w:sz w:val="18"/>
              </w:rPr>
              <w:t>de</w:t>
            </w:r>
            <w:r>
              <w:rPr>
                <w:spacing w:val="-13"/>
                <w:sz w:val="18"/>
              </w:rPr>
              <w:t> </w:t>
            </w:r>
            <w:r>
              <w:rPr>
                <w:sz w:val="18"/>
              </w:rPr>
              <w:t>los comerciantes del centro de abastos las Mercedes de Juliaca, 2023?</w:t>
            </w:r>
          </w:p>
          <w:p>
            <w:pPr>
              <w:pStyle w:val="TableParagraph"/>
              <w:spacing w:before="161"/>
              <w:rPr>
                <w:rFonts w:ascii="Times New Roman"/>
                <w:b/>
                <w:sz w:val="18"/>
              </w:rPr>
            </w:pPr>
          </w:p>
          <w:p>
            <w:pPr>
              <w:pStyle w:val="TableParagraph"/>
              <w:numPr>
                <w:ilvl w:val="0"/>
                <w:numId w:val="23"/>
              </w:numPr>
              <w:tabs>
                <w:tab w:pos="826" w:val="left" w:leader="none"/>
              </w:tabs>
              <w:spacing w:line="240" w:lineRule="auto" w:before="0" w:after="0"/>
              <w:ind w:left="826" w:right="413" w:hanging="360"/>
              <w:jc w:val="left"/>
              <w:rPr>
                <w:sz w:val="18"/>
              </w:rPr>
            </w:pPr>
            <w:r>
              <w:rPr>
                <w:sz w:val="18"/>
              </w:rPr>
              <w:t>¿Cuál es influencia de la seguridad</w:t>
            </w:r>
            <w:r>
              <w:rPr>
                <w:spacing w:val="-10"/>
                <w:sz w:val="18"/>
              </w:rPr>
              <w:t> </w:t>
            </w:r>
            <w:r>
              <w:rPr>
                <w:sz w:val="18"/>
              </w:rPr>
              <w:t>económica</w:t>
            </w:r>
            <w:r>
              <w:rPr>
                <w:spacing w:val="-10"/>
                <w:sz w:val="18"/>
              </w:rPr>
              <w:t> </w:t>
            </w:r>
            <w:r>
              <w:rPr>
                <w:sz w:val="18"/>
              </w:rPr>
              <w:t>en</w:t>
            </w:r>
            <w:r>
              <w:rPr>
                <w:spacing w:val="-9"/>
                <w:sz w:val="18"/>
              </w:rPr>
              <w:t> </w:t>
            </w:r>
            <w:r>
              <w:rPr>
                <w:sz w:val="18"/>
              </w:rPr>
              <w:t>la percepción de los comerciantes</w:t>
            </w:r>
            <w:r>
              <w:rPr>
                <w:spacing w:val="-13"/>
                <w:sz w:val="18"/>
              </w:rPr>
              <w:t> </w:t>
            </w:r>
            <w:r>
              <w:rPr>
                <w:sz w:val="18"/>
              </w:rPr>
              <w:t>del</w:t>
            </w:r>
            <w:r>
              <w:rPr>
                <w:spacing w:val="-12"/>
                <w:sz w:val="18"/>
              </w:rPr>
              <w:t> </w:t>
            </w:r>
            <w:r>
              <w:rPr>
                <w:sz w:val="18"/>
              </w:rPr>
              <w:t>centro</w:t>
            </w:r>
            <w:r>
              <w:rPr>
                <w:spacing w:val="-13"/>
                <w:sz w:val="18"/>
              </w:rPr>
              <w:t> </w:t>
            </w:r>
            <w:r>
              <w:rPr>
                <w:sz w:val="18"/>
              </w:rPr>
              <w:t>de abastos las Mercedes de Juliaca, 2023?</w:t>
            </w:r>
          </w:p>
        </w:tc>
        <w:tc>
          <w:tcPr>
            <w:tcW w:w="3403" w:type="dxa"/>
          </w:tcPr>
          <w:p>
            <w:pPr>
              <w:pStyle w:val="TableParagraph"/>
              <w:numPr>
                <w:ilvl w:val="0"/>
                <w:numId w:val="24"/>
              </w:numPr>
              <w:tabs>
                <w:tab w:pos="466" w:val="left" w:leader="none"/>
                <w:tab w:pos="516" w:val="left" w:leader="none"/>
              </w:tabs>
              <w:spacing w:line="240" w:lineRule="auto" w:before="205" w:after="0"/>
              <w:ind w:left="466" w:right="262" w:hanging="360"/>
              <w:jc w:val="left"/>
              <w:rPr>
                <w:sz w:val="18"/>
              </w:rPr>
            </w:pPr>
            <w:r>
              <w:rPr>
                <w:sz w:val="18"/>
              </w:rPr>
              <w:t>Determinar</w:t>
            </w:r>
            <w:r>
              <w:rPr>
                <w:spacing w:val="40"/>
                <w:sz w:val="18"/>
              </w:rPr>
              <w:t> </w:t>
            </w:r>
            <w:r>
              <w:rPr>
                <w:sz w:val="18"/>
              </w:rPr>
              <w:t>la influencia de la estabilidad económica en la percepción económica de los comerciantes del centro de abastos</w:t>
            </w:r>
            <w:r>
              <w:rPr>
                <w:spacing w:val="-10"/>
                <w:sz w:val="18"/>
              </w:rPr>
              <w:t> </w:t>
            </w:r>
            <w:r>
              <w:rPr>
                <w:sz w:val="18"/>
              </w:rPr>
              <w:t>las</w:t>
            </w:r>
            <w:r>
              <w:rPr>
                <w:spacing w:val="-10"/>
                <w:sz w:val="18"/>
              </w:rPr>
              <w:t> </w:t>
            </w:r>
            <w:r>
              <w:rPr>
                <w:sz w:val="18"/>
              </w:rPr>
              <w:t>Mercedes</w:t>
            </w:r>
            <w:r>
              <w:rPr>
                <w:spacing w:val="-9"/>
                <w:sz w:val="18"/>
              </w:rPr>
              <w:t> </w:t>
            </w:r>
            <w:r>
              <w:rPr>
                <w:sz w:val="18"/>
              </w:rPr>
              <w:t>de</w:t>
            </w:r>
            <w:r>
              <w:rPr>
                <w:spacing w:val="-9"/>
                <w:sz w:val="18"/>
              </w:rPr>
              <w:t> </w:t>
            </w:r>
            <w:r>
              <w:rPr>
                <w:sz w:val="18"/>
              </w:rPr>
              <w:t>Juliaca, </w:t>
            </w:r>
            <w:r>
              <w:rPr>
                <w:spacing w:val="-2"/>
                <w:sz w:val="18"/>
              </w:rPr>
              <w:t>2023.</w:t>
            </w:r>
          </w:p>
          <w:p>
            <w:pPr>
              <w:pStyle w:val="TableParagraph"/>
              <w:spacing w:before="161"/>
              <w:rPr>
                <w:rFonts w:ascii="Times New Roman"/>
                <w:b/>
                <w:sz w:val="18"/>
              </w:rPr>
            </w:pPr>
          </w:p>
          <w:p>
            <w:pPr>
              <w:pStyle w:val="TableParagraph"/>
              <w:numPr>
                <w:ilvl w:val="0"/>
                <w:numId w:val="24"/>
              </w:numPr>
              <w:tabs>
                <w:tab w:pos="466" w:val="left" w:leader="none"/>
              </w:tabs>
              <w:spacing w:line="240" w:lineRule="auto" w:before="1" w:after="0"/>
              <w:ind w:left="466" w:right="262" w:hanging="360"/>
              <w:jc w:val="left"/>
              <w:rPr>
                <w:sz w:val="18"/>
              </w:rPr>
            </w:pPr>
            <w:r>
              <w:rPr>
                <w:sz w:val="18"/>
              </w:rPr>
              <w:t>Determinar la influencia de la liquidez económica en la percepción económica de los comerciantes del centro de abastos</w:t>
            </w:r>
            <w:r>
              <w:rPr>
                <w:spacing w:val="-10"/>
                <w:sz w:val="18"/>
              </w:rPr>
              <w:t> </w:t>
            </w:r>
            <w:r>
              <w:rPr>
                <w:sz w:val="18"/>
              </w:rPr>
              <w:t>las</w:t>
            </w:r>
            <w:r>
              <w:rPr>
                <w:spacing w:val="-10"/>
                <w:sz w:val="18"/>
              </w:rPr>
              <w:t> </w:t>
            </w:r>
            <w:r>
              <w:rPr>
                <w:sz w:val="18"/>
              </w:rPr>
              <w:t>Mercedes</w:t>
            </w:r>
            <w:r>
              <w:rPr>
                <w:spacing w:val="-9"/>
                <w:sz w:val="18"/>
              </w:rPr>
              <w:t> </w:t>
            </w:r>
            <w:r>
              <w:rPr>
                <w:sz w:val="18"/>
              </w:rPr>
              <w:t>de</w:t>
            </w:r>
            <w:r>
              <w:rPr>
                <w:spacing w:val="-9"/>
                <w:sz w:val="18"/>
              </w:rPr>
              <w:t> </w:t>
            </w:r>
            <w:r>
              <w:rPr>
                <w:sz w:val="18"/>
              </w:rPr>
              <w:t>Juliaca, </w:t>
            </w:r>
            <w:r>
              <w:rPr>
                <w:spacing w:val="-2"/>
                <w:sz w:val="18"/>
              </w:rPr>
              <w:t>2023.</w:t>
            </w:r>
          </w:p>
          <w:p>
            <w:pPr>
              <w:pStyle w:val="TableParagraph"/>
              <w:spacing w:before="159"/>
              <w:rPr>
                <w:rFonts w:ascii="Times New Roman"/>
                <w:b/>
                <w:sz w:val="18"/>
              </w:rPr>
            </w:pPr>
          </w:p>
          <w:p>
            <w:pPr>
              <w:pStyle w:val="TableParagraph"/>
              <w:numPr>
                <w:ilvl w:val="0"/>
                <w:numId w:val="24"/>
              </w:numPr>
              <w:tabs>
                <w:tab w:pos="466" w:val="left" w:leader="none"/>
              </w:tabs>
              <w:spacing w:line="240" w:lineRule="auto" w:before="0" w:after="0"/>
              <w:ind w:left="466" w:right="262" w:hanging="360"/>
              <w:jc w:val="left"/>
              <w:rPr>
                <w:sz w:val="18"/>
              </w:rPr>
            </w:pPr>
            <w:r>
              <w:rPr>
                <w:sz w:val="18"/>
              </w:rPr>
              <w:t>Determinar la influencia de la seguridad económica en la percepción económica de los comerciantes del centro de abastos</w:t>
            </w:r>
            <w:r>
              <w:rPr>
                <w:spacing w:val="-10"/>
                <w:sz w:val="18"/>
              </w:rPr>
              <w:t> </w:t>
            </w:r>
            <w:r>
              <w:rPr>
                <w:sz w:val="18"/>
              </w:rPr>
              <w:t>las</w:t>
            </w:r>
            <w:r>
              <w:rPr>
                <w:spacing w:val="-10"/>
                <w:sz w:val="18"/>
              </w:rPr>
              <w:t> </w:t>
            </w:r>
            <w:r>
              <w:rPr>
                <w:sz w:val="18"/>
              </w:rPr>
              <w:t>Mercedes</w:t>
            </w:r>
            <w:r>
              <w:rPr>
                <w:spacing w:val="-9"/>
                <w:sz w:val="18"/>
              </w:rPr>
              <w:t> </w:t>
            </w:r>
            <w:r>
              <w:rPr>
                <w:sz w:val="18"/>
              </w:rPr>
              <w:t>de</w:t>
            </w:r>
            <w:r>
              <w:rPr>
                <w:spacing w:val="-9"/>
                <w:sz w:val="18"/>
              </w:rPr>
              <w:t> </w:t>
            </w:r>
            <w:r>
              <w:rPr>
                <w:sz w:val="18"/>
              </w:rPr>
              <w:t>Juliaca, </w:t>
            </w:r>
            <w:r>
              <w:rPr>
                <w:spacing w:val="-2"/>
                <w:sz w:val="18"/>
              </w:rPr>
              <w:t>2023.</w:t>
            </w:r>
          </w:p>
        </w:tc>
        <w:tc>
          <w:tcPr>
            <w:tcW w:w="3545" w:type="dxa"/>
          </w:tcPr>
          <w:p>
            <w:pPr>
              <w:pStyle w:val="TableParagraph"/>
              <w:numPr>
                <w:ilvl w:val="0"/>
                <w:numId w:val="25"/>
              </w:numPr>
              <w:tabs>
                <w:tab w:pos="466" w:val="left" w:leader="none"/>
                <w:tab w:pos="515" w:val="left" w:leader="none"/>
              </w:tabs>
              <w:spacing w:line="240" w:lineRule="auto" w:before="205" w:after="0"/>
              <w:ind w:left="466" w:right="257" w:hanging="360"/>
              <w:jc w:val="left"/>
              <w:rPr>
                <w:sz w:val="18"/>
              </w:rPr>
            </w:pPr>
            <w:r>
              <w:rPr>
                <w:sz w:val="18"/>
              </w:rPr>
              <w:t>La</w:t>
            </w:r>
            <w:r>
              <w:rPr>
                <w:spacing w:val="40"/>
                <w:sz w:val="18"/>
              </w:rPr>
              <w:t> </w:t>
            </w:r>
            <w:r>
              <w:rPr>
                <w:sz w:val="18"/>
              </w:rPr>
              <w:t>estabilidad económica influye significativamente</w:t>
            </w:r>
            <w:r>
              <w:rPr>
                <w:spacing w:val="-10"/>
                <w:sz w:val="18"/>
              </w:rPr>
              <w:t> </w:t>
            </w:r>
            <w:r>
              <w:rPr>
                <w:sz w:val="18"/>
              </w:rPr>
              <w:t>en</w:t>
            </w:r>
            <w:r>
              <w:rPr>
                <w:spacing w:val="-10"/>
                <w:sz w:val="18"/>
              </w:rPr>
              <w:t> </w:t>
            </w:r>
            <w:r>
              <w:rPr>
                <w:sz w:val="18"/>
              </w:rPr>
              <w:t>la</w:t>
            </w:r>
            <w:r>
              <w:rPr>
                <w:spacing w:val="-10"/>
                <w:sz w:val="18"/>
              </w:rPr>
              <w:t> </w:t>
            </w:r>
            <w:r>
              <w:rPr>
                <w:sz w:val="18"/>
              </w:rPr>
              <w:t>percepción económica</w:t>
            </w:r>
            <w:r>
              <w:rPr>
                <w:spacing w:val="-10"/>
                <w:sz w:val="18"/>
              </w:rPr>
              <w:t> </w:t>
            </w:r>
            <w:r>
              <w:rPr>
                <w:sz w:val="18"/>
              </w:rPr>
              <w:t>de</w:t>
            </w:r>
            <w:r>
              <w:rPr>
                <w:spacing w:val="-10"/>
                <w:sz w:val="18"/>
              </w:rPr>
              <w:t> </w:t>
            </w:r>
            <w:r>
              <w:rPr>
                <w:sz w:val="18"/>
              </w:rPr>
              <w:t>los</w:t>
            </w:r>
            <w:r>
              <w:rPr>
                <w:spacing w:val="-10"/>
                <w:sz w:val="18"/>
              </w:rPr>
              <w:t> </w:t>
            </w:r>
            <w:r>
              <w:rPr>
                <w:sz w:val="18"/>
              </w:rPr>
              <w:t>comerciantes</w:t>
            </w:r>
            <w:r>
              <w:rPr>
                <w:spacing w:val="-10"/>
                <w:sz w:val="18"/>
              </w:rPr>
              <w:t> </w:t>
            </w:r>
            <w:r>
              <w:rPr>
                <w:sz w:val="18"/>
              </w:rPr>
              <w:t>del centro</w:t>
            </w:r>
            <w:r>
              <w:rPr>
                <w:spacing w:val="-7"/>
                <w:sz w:val="18"/>
              </w:rPr>
              <w:t> </w:t>
            </w:r>
            <w:r>
              <w:rPr>
                <w:sz w:val="18"/>
              </w:rPr>
              <w:t>de</w:t>
            </w:r>
            <w:r>
              <w:rPr>
                <w:spacing w:val="-7"/>
                <w:sz w:val="18"/>
              </w:rPr>
              <w:t> </w:t>
            </w:r>
            <w:r>
              <w:rPr>
                <w:sz w:val="18"/>
              </w:rPr>
              <w:t>abastos</w:t>
            </w:r>
            <w:r>
              <w:rPr>
                <w:spacing w:val="-7"/>
                <w:sz w:val="18"/>
              </w:rPr>
              <w:t> </w:t>
            </w:r>
            <w:r>
              <w:rPr>
                <w:sz w:val="18"/>
              </w:rPr>
              <w:t>las</w:t>
            </w:r>
            <w:r>
              <w:rPr>
                <w:spacing w:val="-7"/>
                <w:sz w:val="18"/>
              </w:rPr>
              <w:t> </w:t>
            </w:r>
            <w:r>
              <w:rPr>
                <w:sz w:val="18"/>
              </w:rPr>
              <w:t>Mercedes</w:t>
            </w:r>
            <w:r>
              <w:rPr>
                <w:spacing w:val="-6"/>
                <w:sz w:val="18"/>
              </w:rPr>
              <w:t> </w:t>
            </w:r>
            <w:r>
              <w:rPr>
                <w:sz w:val="18"/>
              </w:rPr>
              <w:t>de Juliaca, 2023.</w:t>
            </w:r>
          </w:p>
          <w:p>
            <w:pPr>
              <w:pStyle w:val="TableParagraph"/>
              <w:spacing w:before="160"/>
              <w:rPr>
                <w:rFonts w:ascii="Times New Roman"/>
                <w:b/>
                <w:sz w:val="18"/>
              </w:rPr>
            </w:pPr>
          </w:p>
          <w:p>
            <w:pPr>
              <w:pStyle w:val="TableParagraph"/>
              <w:numPr>
                <w:ilvl w:val="0"/>
                <w:numId w:val="25"/>
              </w:numPr>
              <w:tabs>
                <w:tab w:pos="466" w:val="left" w:leader="none"/>
              </w:tabs>
              <w:spacing w:line="240" w:lineRule="auto" w:before="1" w:after="0"/>
              <w:ind w:left="466" w:right="257" w:hanging="360"/>
              <w:jc w:val="left"/>
              <w:rPr>
                <w:sz w:val="18"/>
              </w:rPr>
            </w:pPr>
            <w:r>
              <w:rPr>
                <w:sz w:val="18"/>
              </w:rPr>
              <w:t>La liquidez económica influye significativamente</w:t>
            </w:r>
            <w:r>
              <w:rPr>
                <w:spacing w:val="-10"/>
                <w:sz w:val="18"/>
              </w:rPr>
              <w:t> </w:t>
            </w:r>
            <w:r>
              <w:rPr>
                <w:sz w:val="18"/>
              </w:rPr>
              <w:t>en</w:t>
            </w:r>
            <w:r>
              <w:rPr>
                <w:spacing w:val="-10"/>
                <w:sz w:val="18"/>
              </w:rPr>
              <w:t> </w:t>
            </w:r>
            <w:r>
              <w:rPr>
                <w:sz w:val="18"/>
              </w:rPr>
              <w:t>la</w:t>
            </w:r>
            <w:r>
              <w:rPr>
                <w:spacing w:val="-10"/>
                <w:sz w:val="18"/>
              </w:rPr>
              <w:t> </w:t>
            </w:r>
            <w:r>
              <w:rPr>
                <w:sz w:val="18"/>
              </w:rPr>
              <w:t>percepción económica</w:t>
            </w:r>
            <w:r>
              <w:rPr>
                <w:spacing w:val="-10"/>
                <w:sz w:val="18"/>
              </w:rPr>
              <w:t> </w:t>
            </w:r>
            <w:r>
              <w:rPr>
                <w:sz w:val="18"/>
              </w:rPr>
              <w:t>de</w:t>
            </w:r>
            <w:r>
              <w:rPr>
                <w:spacing w:val="-10"/>
                <w:sz w:val="18"/>
              </w:rPr>
              <w:t> </w:t>
            </w:r>
            <w:r>
              <w:rPr>
                <w:sz w:val="18"/>
              </w:rPr>
              <w:t>los</w:t>
            </w:r>
            <w:r>
              <w:rPr>
                <w:spacing w:val="-10"/>
                <w:sz w:val="18"/>
              </w:rPr>
              <w:t> </w:t>
            </w:r>
            <w:r>
              <w:rPr>
                <w:sz w:val="18"/>
              </w:rPr>
              <w:t>comerciantes</w:t>
            </w:r>
            <w:r>
              <w:rPr>
                <w:spacing w:val="-10"/>
                <w:sz w:val="18"/>
              </w:rPr>
              <w:t> </w:t>
            </w:r>
            <w:r>
              <w:rPr>
                <w:sz w:val="18"/>
              </w:rPr>
              <w:t>del centro</w:t>
            </w:r>
            <w:r>
              <w:rPr>
                <w:spacing w:val="-6"/>
                <w:sz w:val="18"/>
              </w:rPr>
              <w:t> </w:t>
            </w:r>
            <w:r>
              <w:rPr>
                <w:sz w:val="18"/>
              </w:rPr>
              <w:t>de</w:t>
            </w:r>
            <w:r>
              <w:rPr>
                <w:spacing w:val="-6"/>
                <w:sz w:val="18"/>
              </w:rPr>
              <w:t> </w:t>
            </w:r>
            <w:r>
              <w:rPr>
                <w:sz w:val="18"/>
              </w:rPr>
              <w:t>abastos</w:t>
            </w:r>
            <w:r>
              <w:rPr>
                <w:spacing w:val="-7"/>
                <w:sz w:val="18"/>
              </w:rPr>
              <w:t> </w:t>
            </w:r>
            <w:r>
              <w:rPr>
                <w:sz w:val="18"/>
              </w:rPr>
              <w:t>las</w:t>
            </w:r>
            <w:r>
              <w:rPr>
                <w:spacing w:val="-7"/>
                <w:sz w:val="18"/>
              </w:rPr>
              <w:t> </w:t>
            </w:r>
            <w:r>
              <w:rPr>
                <w:sz w:val="18"/>
              </w:rPr>
              <w:t>Mercedes</w:t>
            </w:r>
            <w:r>
              <w:rPr>
                <w:spacing w:val="-6"/>
                <w:sz w:val="18"/>
              </w:rPr>
              <w:t> </w:t>
            </w:r>
            <w:r>
              <w:rPr>
                <w:sz w:val="18"/>
              </w:rPr>
              <w:t>de Juliaca, 2023.</w:t>
            </w:r>
          </w:p>
          <w:p>
            <w:pPr>
              <w:pStyle w:val="TableParagraph"/>
              <w:spacing w:before="159"/>
              <w:rPr>
                <w:rFonts w:ascii="Times New Roman"/>
                <w:b/>
                <w:sz w:val="18"/>
              </w:rPr>
            </w:pPr>
          </w:p>
          <w:p>
            <w:pPr>
              <w:pStyle w:val="TableParagraph"/>
              <w:numPr>
                <w:ilvl w:val="0"/>
                <w:numId w:val="25"/>
              </w:numPr>
              <w:tabs>
                <w:tab w:pos="466" w:val="left" w:leader="none"/>
              </w:tabs>
              <w:spacing w:line="240" w:lineRule="auto" w:before="1" w:after="0"/>
              <w:ind w:left="466" w:right="257" w:hanging="360"/>
              <w:jc w:val="left"/>
              <w:rPr>
                <w:sz w:val="18"/>
              </w:rPr>
            </w:pPr>
            <w:r>
              <w:rPr>
                <w:sz w:val="18"/>
              </w:rPr>
              <w:t>La seguridad económica influye significativamente</w:t>
            </w:r>
            <w:r>
              <w:rPr>
                <w:spacing w:val="-10"/>
                <w:sz w:val="18"/>
              </w:rPr>
              <w:t> </w:t>
            </w:r>
            <w:r>
              <w:rPr>
                <w:sz w:val="18"/>
              </w:rPr>
              <w:t>en</w:t>
            </w:r>
            <w:r>
              <w:rPr>
                <w:spacing w:val="-10"/>
                <w:sz w:val="18"/>
              </w:rPr>
              <w:t> </w:t>
            </w:r>
            <w:r>
              <w:rPr>
                <w:sz w:val="18"/>
              </w:rPr>
              <w:t>la</w:t>
            </w:r>
            <w:r>
              <w:rPr>
                <w:spacing w:val="-10"/>
                <w:sz w:val="18"/>
              </w:rPr>
              <w:t> </w:t>
            </w:r>
            <w:r>
              <w:rPr>
                <w:sz w:val="18"/>
              </w:rPr>
              <w:t>percepción económica</w:t>
            </w:r>
            <w:r>
              <w:rPr>
                <w:spacing w:val="-10"/>
                <w:sz w:val="18"/>
              </w:rPr>
              <w:t> </w:t>
            </w:r>
            <w:r>
              <w:rPr>
                <w:sz w:val="18"/>
              </w:rPr>
              <w:t>de</w:t>
            </w:r>
            <w:r>
              <w:rPr>
                <w:spacing w:val="-10"/>
                <w:sz w:val="18"/>
              </w:rPr>
              <w:t> </w:t>
            </w:r>
            <w:r>
              <w:rPr>
                <w:sz w:val="18"/>
              </w:rPr>
              <w:t>los</w:t>
            </w:r>
            <w:r>
              <w:rPr>
                <w:spacing w:val="-10"/>
                <w:sz w:val="18"/>
              </w:rPr>
              <w:t> </w:t>
            </w:r>
            <w:r>
              <w:rPr>
                <w:sz w:val="18"/>
              </w:rPr>
              <w:t>comerciantes</w:t>
            </w:r>
            <w:r>
              <w:rPr>
                <w:spacing w:val="-10"/>
                <w:sz w:val="18"/>
              </w:rPr>
              <w:t> </w:t>
            </w:r>
            <w:r>
              <w:rPr>
                <w:sz w:val="18"/>
              </w:rPr>
              <w:t>del centro</w:t>
            </w:r>
            <w:r>
              <w:rPr>
                <w:spacing w:val="-6"/>
                <w:sz w:val="18"/>
              </w:rPr>
              <w:t> </w:t>
            </w:r>
            <w:r>
              <w:rPr>
                <w:sz w:val="18"/>
              </w:rPr>
              <w:t>de</w:t>
            </w:r>
            <w:r>
              <w:rPr>
                <w:spacing w:val="-6"/>
                <w:sz w:val="18"/>
              </w:rPr>
              <w:t> </w:t>
            </w:r>
            <w:r>
              <w:rPr>
                <w:sz w:val="18"/>
              </w:rPr>
              <w:t>abastos</w:t>
            </w:r>
            <w:r>
              <w:rPr>
                <w:spacing w:val="-7"/>
                <w:sz w:val="18"/>
              </w:rPr>
              <w:t> </w:t>
            </w:r>
            <w:r>
              <w:rPr>
                <w:sz w:val="18"/>
              </w:rPr>
              <w:t>las</w:t>
            </w:r>
            <w:r>
              <w:rPr>
                <w:spacing w:val="-7"/>
                <w:sz w:val="18"/>
              </w:rPr>
              <w:t> </w:t>
            </w:r>
            <w:r>
              <w:rPr>
                <w:sz w:val="18"/>
              </w:rPr>
              <w:t>Mercedes</w:t>
            </w:r>
            <w:r>
              <w:rPr>
                <w:spacing w:val="-6"/>
                <w:sz w:val="18"/>
              </w:rPr>
              <w:t> </w:t>
            </w:r>
            <w:r>
              <w:rPr>
                <w:sz w:val="18"/>
              </w:rPr>
              <w:t>de Juliaca, 2023.</w:t>
            </w:r>
          </w:p>
        </w:tc>
        <w:tc>
          <w:tcPr>
            <w:tcW w:w="1985" w:type="dxa"/>
            <w:vMerge/>
            <w:tcBorders>
              <w:top w:val="nil"/>
            </w:tcBorders>
          </w:tcPr>
          <w:p>
            <w:pPr>
              <w:rPr>
                <w:sz w:val="2"/>
                <w:szCs w:val="2"/>
              </w:rPr>
            </w:pPr>
          </w:p>
        </w:tc>
        <w:tc>
          <w:tcPr>
            <w:tcW w:w="2825" w:type="dxa"/>
            <w:vMerge/>
            <w:tcBorders>
              <w:top w:val="nil"/>
            </w:tcBorders>
          </w:tcPr>
          <w:p>
            <w:pPr>
              <w:rPr>
                <w:sz w:val="2"/>
                <w:szCs w:val="2"/>
              </w:rPr>
            </w:pPr>
          </w:p>
        </w:tc>
      </w:tr>
    </w:tbl>
    <w:p>
      <w:pPr>
        <w:spacing w:before="2"/>
        <w:ind w:left="1430" w:right="0" w:firstLine="0"/>
        <w:jc w:val="left"/>
        <w:rPr>
          <w:sz w:val="24"/>
        </w:rPr>
      </w:pPr>
      <w:r>
        <w:rPr>
          <w:i/>
          <w:sz w:val="24"/>
        </w:rPr>
        <w:t>Nota</w:t>
      </w:r>
      <w:r>
        <w:rPr>
          <w:b/>
          <w:sz w:val="24"/>
        </w:rPr>
        <w:t>.</w:t>
      </w:r>
      <w:r>
        <w:rPr>
          <w:b/>
          <w:spacing w:val="-4"/>
          <w:sz w:val="24"/>
        </w:rPr>
        <w:t> </w:t>
      </w:r>
      <w:r>
        <w:rPr>
          <w:sz w:val="24"/>
        </w:rPr>
        <w:t>Elaboración</w:t>
      </w:r>
      <w:r>
        <w:rPr>
          <w:spacing w:val="-2"/>
          <w:sz w:val="24"/>
        </w:rPr>
        <w:t> propia.</w:t>
      </w:r>
    </w:p>
    <w:p>
      <w:pPr>
        <w:spacing w:after="0"/>
        <w:jc w:val="left"/>
        <w:rPr>
          <w:sz w:val="24"/>
        </w:rPr>
        <w:sectPr>
          <w:headerReference w:type="default" r:id="rId92"/>
          <w:footerReference w:type="default" r:id="rId93"/>
          <w:pgSz w:w="16840" w:h="11910" w:orient="landscape"/>
          <w:pgMar w:header="0" w:footer="693" w:top="0" w:bottom="880" w:left="992" w:right="425"/>
        </w:sectPr>
      </w:pPr>
    </w:p>
    <w:p>
      <w:pPr>
        <w:pStyle w:val="Heading3"/>
        <w:spacing w:before="66"/>
        <w:ind w:left="1087" w:right="1222"/>
        <w:jc w:val="center"/>
      </w:pPr>
      <w:bookmarkStart w:name="_bookmark80" w:id="81"/>
      <w:bookmarkEnd w:id="81"/>
      <w:r>
        <w:rPr>
          <w:b w:val="0"/>
        </w:rPr>
      </w:r>
      <w:r>
        <w:rPr/>
        <w:t>Matriz</w:t>
      </w:r>
      <w:r>
        <w:rPr>
          <w:spacing w:val="-3"/>
        </w:rPr>
        <w:t> </w:t>
      </w:r>
      <w:r>
        <w:rPr/>
        <w:t>de </w:t>
      </w:r>
      <w:r>
        <w:rPr>
          <w:spacing w:val="-2"/>
        </w:rPr>
        <w:t>datos</w:t>
      </w:r>
    </w:p>
    <w:p>
      <w:pPr>
        <w:pStyle w:val="BodyText"/>
        <w:spacing w:before="36"/>
        <w:rPr>
          <w:b/>
          <w:sz w:val="20"/>
        </w:rPr>
      </w:pPr>
      <w:r>
        <w:rPr>
          <w:b/>
          <w:sz w:val="20"/>
        </w:rPr>
        <w:drawing>
          <wp:anchor distT="0" distB="0" distL="0" distR="0" allowOverlap="1" layoutInCell="1" locked="0" behindDoc="1" simplePos="0" relativeHeight="487620096">
            <wp:simplePos x="0" y="0"/>
            <wp:positionH relativeFrom="page">
              <wp:posOffset>1080135</wp:posOffset>
            </wp:positionH>
            <wp:positionV relativeFrom="paragraph">
              <wp:posOffset>184680</wp:posOffset>
            </wp:positionV>
            <wp:extent cx="5600220" cy="3140964"/>
            <wp:effectExtent l="0" t="0" r="0" b="0"/>
            <wp:wrapTopAndBottom/>
            <wp:docPr id="179" name="Image 179"/>
            <wp:cNvGraphicFramePr>
              <a:graphicFrameLocks/>
            </wp:cNvGraphicFramePr>
            <a:graphic>
              <a:graphicData uri="http://schemas.openxmlformats.org/drawingml/2006/picture">
                <pic:pic>
                  <pic:nvPicPr>
                    <pic:cNvPr id="179" name="Image 179"/>
                    <pic:cNvPicPr/>
                  </pic:nvPicPr>
                  <pic:blipFill>
                    <a:blip r:embed="rId96" cstate="print"/>
                    <a:stretch>
                      <a:fillRect/>
                    </a:stretch>
                  </pic:blipFill>
                  <pic:spPr>
                    <a:xfrm>
                      <a:off x="0" y="0"/>
                      <a:ext cx="5600220" cy="3140964"/>
                    </a:xfrm>
                    <a:prstGeom prst="rect">
                      <a:avLst/>
                    </a:prstGeom>
                  </pic:spPr>
                </pic:pic>
              </a:graphicData>
            </a:graphic>
          </wp:anchor>
        </w:drawing>
      </w:r>
    </w:p>
    <w:p>
      <w:pPr>
        <w:pStyle w:val="BodyText"/>
        <w:rPr>
          <w:b/>
          <w:sz w:val="20"/>
        </w:rPr>
      </w:pPr>
    </w:p>
    <w:p>
      <w:pPr>
        <w:pStyle w:val="BodyText"/>
        <w:spacing w:before="129"/>
        <w:rPr>
          <w:b/>
          <w:sz w:val="20"/>
        </w:rPr>
      </w:pPr>
      <w:r>
        <w:rPr>
          <w:b/>
          <w:sz w:val="20"/>
        </w:rPr>
        <w:drawing>
          <wp:anchor distT="0" distB="0" distL="0" distR="0" allowOverlap="1" layoutInCell="1" locked="0" behindDoc="1" simplePos="0" relativeHeight="487620608">
            <wp:simplePos x="0" y="0"/>
            <wp:positionH relativeFrom="page">
              <wp:posOffset>1080135</wp:posOffset>
            </wp:positionH>
            <wp:positionV relativeFrom="paragraph">
              <wp:posOffset>243192</wp:posOffset>
            </wp:positionV>
            <wp:extent cx="5600220" cy="3140964"/>
            <wp:effectExtent l="0" t="0" r="0" b="0"/>
            <wp:wrapTopAndBottom/>
            <wp:docPr id="180" name="Image 180"/>
            <wp:cNvGraphicFramePr>
              <a:graphicFrameLocks/>
            </wp:cNvGraphicFramePr>
            <a:graphic>
              <a:graphicData uri="http://schemas.openxmlformats.org/drawingml/2006/picture">
                <pic:pic>
                  <pic:nvPicPr>
                    <pic:cNvPr id="180" name="Image 180"/>
                    <pic:cNvPicPr/>
                  </pic:nvPicPr>
                  <pic:blipFill>
                    <a:blip r:embed="rId97" cstate="print"/>
                    <a:stretch>
                      <a:fillRect/>
                    </a:stretch>
                  </pic:blipFill>
                  <pic:spPr>
                    <a:xfrm>
                      <a:off x="0" y="0"/>
                      <a:ext cx="5600220" cy="3140964"/>
                    </a:xfrm>
                    <a:prstGeom prst="rect">
                      <a:avLst/>
                    </a:prstGeom>
                  </pic:spPr>
                </pic:pic>
              </a:graphicData>
            </a:graphic>
          </wp:anchor>
        </w:drawing>
      </w:r>
    </w:p>
    <w:p>
      <w:pPr>
        <w:pStyle w:val="BodyText"/>
        <w:spacing w:after="0"/>
        <w:rPr>
          <w:b/>
          <w:sz w:val="20"/>
        </w:rPr>
        <w:sectPr>
          <w:headerReference w:type="default" r:id="rId94"/>
          <w:footerReference w:type="default" r:id="rId95"/>
          <w:pgSz w:w="11910" w:h="16840"/>
          <w:pgMar w:header="0" w:footer="693" w:top="1340" w:bottom="880" w:left="1700" w:right="1275"/>
        </w:sectPr>
      </w:pPr>
    </w:p>
    <w:p>
      <w:pPr>
        <w:pStyle w:val="BodyText"/>
        <w:rPr>
          <w:b/>
          <w:sz w:val="7"/>
        </w:rPr>
      </w:pPr>
    </w:p>
    <w:p>
      <w:pPr>
        <w:pStyle w:val="BodyText"/>
        <w:ind w:left="1"/>
        <w:rPr>
          <w:sz w:val="20"/>
        </w:rPr>
      </w:pPr>
      <w:r>
        <w:rPr>
          <w:sz w:val="20"/>
        </w:rPr>
        <w:drawing>
          <wp:inline distT="0" distB="0" distL="0" distR="0">
            <wp:extent cx="5583978" cy="3131820"/>
            <wp:effectExtent l="0" t="0" r="0" b="0"/>
            <wp:docPr id="183" name="Image 183"/>
            <wp:cNvGraphicFramePr>
              <a:graphicFrameLocks/>
            </wp:cNvGraphicFramePr>
            <a:graphic>
              <a:graphicData uri="http://schemas.openxmlformats.org/drawingml/2006/picture">
                <pic:pic>
                  <pic:nvPicPr>
                    <pic:cNvPr id="183" name="Image 183"/>
                    <pic:cNvPicPr/>
                  </pic:nvPicPr>
                  <pic:blipFill>
                    <a:blip r:embed="rId100" cstate="print"/>
                    <a:stretch>
                      <a:fillRect/>
                    </a:stretch>
                  </pic:blipFill>
                  <pic:spPr>
                    <a:xfrm>
                      <a:off x="0" y="0"/>
                      <a:ext cx="5583978" cy="3131820"/>
                    </a:xfrm>
                    <a:prstGeom prst="rect">
                      <a:avLst/>
                    </a:prstGeom>
                  </pic:spPr>
                </pic:pic>
              </a:graphicData>
            </a:graphic>
          </wp:inline>
        </w:drawing>
      </w:r>
      <w:r>
        <w:rPr>
          <w:sz w:val="20"/>
        </w:rPr>
      </w:r>
    </w:p>
    <w:p>
      <w:pPr>
        <w:pStyle w:val="BodyText"/>
        <w:rPr>
          <w:b/>
          <w:sz w:val="20"/>
        </w:rPr>
      </w:pPr>
    </w:p>
    <w:p>
      <w:pPr>
        <w:pStyle w:val="BodyText"/>
        <w:spacing w:before="130"/>
        <w:rPr>
          <w:b/>
          <w:sz w:val="20"/>
        </w:rPr>
      </w:pPr>
      <w:r>
        <w:rPr>
          <w:b/>
          <w:sz w:val="20"/>
        </w:rPr>
        <w:drawing>
          <wp:anchor distT="0" distB="0" distL="0" distR="0" allowOverlap="1" layoutInCell="1" locked="0" behindDoc="1" simplePos="0" relativeHeight="487621120">
            <wp:simplePos x="0" y="0"/>
            <wp:positionH relativeFrom="page">
              <wp:posOffset>1080135</wp:posOffset>
            </wp:positionH>
            <wp:positionV relativeFrom="paragraph">
              <wp:posOffset>243827</wp:posOffset>
            </wp:positionV>
            <wp:extent cx="5536013" cy="3104388"/>
            <wp:effectExtent l="0" t="0" r="0" b="0"/>
            <wp:wrapTopAndBottom/>
            <wp:docPr id="184" name="Image 184"/>
            <wp:cNvGraphicFramePr>
              <a:graphicFrameLocks/>
            </wp:cNvGraphicFramePr>
            <a:graphic>
              <a:graphicData uri="http://schemas.openxmlformats.org/drawingml/2006/picture">
                <pic:pic>
                  <pic:nvPicPr>
                    <pic:cNvPr id="184" name="Image 184"/>
                    <pic:cNvPicPr/>
                  </pic:nvPicPr>
                  <pic:blipFill>
                    <a:blip r:embed="rId101" cstate="print"/>
                    <a:stretch>
                      <a:fillRect/>
                    </a:stretch>
                  </pic:blipFill>
                  <pic:spPr>
                    <a:xfrm>
                      <a:off x="0" y="0"/>
                      <a:ext cx="5536013" cy="3104388"/>
                    </a:xfrm>
                    <a:prstGeom prst="rect">
                      <a:avLst/>
                    </a:prstGeom>
                  </pic:spPr>
                </pic:pic>
              </a:graphicData>
            </a:graphic>
          </wp:anchor>
        </w:drawing>
      </w:r>
    </w:p>
    <w:p>
      <w:pPr>
        <w:pStyle w:val="BodyText"/>
        <w:spacing w:after="0"/>
        <w:rPr>
          <w:b/>
          <w:sz w:val="20"/>
        </w:rPr>
        <w:sectPr>
          <w:headerReference w:type="default" r:id="rId98"/>
          <w:footerReference w:type="default" r:id="rId99"/>
          <w:pgSz w:w="11910" w:h="16840"/>
          <w:pgMar w:header="0" w:footer="693" w:top="1340" w:bottom="880" w:left="1700" w:right="1275"/>
        </w:sectPr>
      </w:pPr>
    </w:p>
    <w:p>
      <w:pPr>
        <w:pStyle w:val="BodyText"/>
        <w:rPr>
          <w:b/>
          <w:sz w:val="7"/>
        </w:rPr>
      </w:pPr>
    </w:p>
    <w:p>
      <w:pPr>
        <w:pStyle w:val="BodyText"/>
        <w:ind w:left="1"/>
        <w:rPr>
          <w:sz w:val="20"/>
        </w:rPr>
      </w:pPr>
      <w:r>
        <w:rPr>
          <w:sz w:val="20"/>
        </w:rPr>
        <w:drawing>
          <wp:inline distT="0" distB="0" distL="0" distR="0">
            <wp:extent cx="5445788" cy="3054096"/>
            <wp:effectExtent l="0" t="0" r="0" b="0"/>
            <wp:docPr id="187" name="Image 187"/>
            <wp:cNvGraphicFramePr>
              <a:graphicFrameLocks/>
            </wp:cNvGraphicFramePr>
            <a:graphic>
              <a:graphicData uri="http://schemas.openxmlformats.org/drawingml/2006/picture">
                <pic:pic>
                  <pic:nvPicPr>
                    <pic:cNvPr id="187" name="Image 187"/>
                    <pic:cNvPicPr/>
                  </pic:nvPicPr>
                  <pic:blipFill>
                    <a:blip r:embed="rId104" cstate="print"/>
                    <a:stretch>
                      <a:fillRect/>
                    </a:stretch>
                  </pic:blipFill>
                  <pic:spPr>
                    <a:xfrm>
                      <a:off x="0" y="0"/>
                      <a:ext cx="5445788" cy="3054096"/>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spacing w:before="192"/>
        <w:rPr>
          <w:b/>
          <w:sz w:val="20"/>
        </w:rPr>
      </w:pPr>
      <w:r>
        <w:rPr>
          <w:b/>
          <w:sz w:val="20"/>
        </w:rPr>
        <w:drawing>
          <wp:anchor distT="0" distB="0" distL="0" distR="0" allowOverlap="1" layoutInCell="1" locked="0" behindDoc="1" simplePos="0" relativeHeight="487621632">
            <wp:simplePos x="0" y="0"/>
            <wp:positionH relativeFrom="page">
              <wp:posOffset>1080135</wp:posOffset>
            </wp:positionH>
            <wp:positionV relativeFrom="paragraph">
              <wp:posOffset>283197</wp:posOffset>
            </wp:positionV>
            <wp:extent cx="5535436" cy="3104388"/>
            <wp:effectExtent l="0" t="0" r="0" b="0"/>
            <wp:wrapTopAndBottom/>
            <wp:docPr id="188" name="Image 188"/>
            <wp:cNvGraphicFramePr>
              <a:graphicFrameLocks/>
            </wp:cNvGraphicFramePr>
            <a:graphic>
              <a:graphicData uri="http://schemas.openxmlformats.org/drawingml/2006/picture">
                <pic:pic>
                  <pic:nvPicPr>
                    <pic:cNvPr id="188" name="Image 188"/>
                    <pic:cNvPicPr/>
                  </pic:nvPicPr>
                  <pic:blipFill>
                    <a:blip r:embed="rId105" cstate="print"/>
                    <a:stretch>
                      <a:fillRect/>
                    </a:stretch>
                  </pic:blipFill>
                  <pic:spPr>
                    <a:xfrm>
                      <a:off x="0" y="0"/>
                      <a:ext cx="5535436" cy="3104388"/>
                    </a:xfrm>
                    <a:prstGeom prst="rect">
                      <a:avLst/>
                    </a:prstGeom>
                  </pic:spPr>
                </pic:pic>
              </a:graphicData>
            </a:graphic>
          </wp:anchor>
        </w:drawing>
      </w:r>
    </w:p>
    <w:p>
      <w:pPr>
        <w:pStyle w:val="BodyText"/>
        <w:spacing w:after="0"/>
        <w:rPr>
          <w:b/>
          <w:sz w:val="20"/>
        </w:rPr>
        <w:sectPr>
          <w:headerReference w:type="default" r:id="rId102"/>
          <w:footerReference w:type="default" r:id="rId103"/>
          <w:pgSz w:w="11910" w:h="16840"/>
          <w:pgMar w:header="0" w:footer="693" w:top="1340" w:bottom="880" w:left="1700" w:right="1275"/>
        </w:sectPr>
      </w:pPr>
    </w:p>
    <w:p>
      <w:pPr>
        <w:pStyle w:val="BodyText"/>
        <w:rPr>
          <w:b/>
          <w:sz w:val="7"/>
        </w:rPr>
      </w:pPr>
    </w:p>
    <w:p>
      <w:pPr>
        <w:pStyle w:val="BodyText"/>
        <w:ind w:left="1"/>
        <w:rPr>
          <w:sz w:val="20"/>
        </w:rPr>
      </w:pPr>
      <w:r>
        <w:rPr>
          <w:sz w:val="20"/>
        </w:rPr>
        <w:drawing>
          <wp:inline distT="0" distB="0" distL="0" distR="0">
            <wp:extent cx="5567694" cy="3122676"/>
            <wp:effectExtent l="0" t="0" r="0" b="0"/>
            <wp:docPr id="191" name="Image 191"/>
            <wp:cNvGraphicFramePr>
              <a:graphicFrameLocks/>
            </wp:cNvGraphicFramePr>
            <a:graphic>
              <a:graphicData uri="http://schemas.openxmlformats.org/drawingml/2006/picture">
                <pic:pic>
                  <pic:nvPicPr>
                    <pic:cNvPr id="191" name="Image 191"/>
                    <pic:cNvPicPr/>
                  </pic:nvPicPr>
                  <pic:blipFill>
                    <a:blip r:embed="rId108" cstate="print"/>
                    <a:stretch>
                      <a:fillRect/>
                    </a:stretch>
                  </pic:blipFill>
                  <pic:spPr>
                    <a:xfrm>
                      <a:off x="0" y="0"/>
                      <a:ext cx="5567694" cy="3122676"/>
                    </a:xfrm>
                    <a:prstGeom prst="rect">
                      <a:avLst/>
                    </a:prstGeom>
                  </pic:spPr>
                </pic:pic>
              </a:graphicData>
            </a:graphic>
          </wp:inline>
        </w:drawing>
      </w:r>
      <w:r>
        <w:rPr>
          <w:sz w:val="20"/>
        </w:rPr>
      </w:r>
    </w:p>
    <w:p>
      <w:pPr>
        <w:pStyle w:val="BodyText"/>
        <w:spacing w:after="0"/>
        <w:rPr>
          <w:sz w:val="20"/>
        </w:rPr>
        <w:sectPr>
          <w:headerReference w:type="default" r:id="rId106"/>
          <w:footerReference w:type="default" r:id="rId107"/>
          <w:pgSz w:w="11910" w:h="16840"/>
          <w:pgMar w:header="0" w:footer="693" w:top="1340" w:bottom="880" w:left="1700" w:right="1275"/>
        </w:sectPr>
      </w:pPr>
    </w:p>
    <w:p>
      <w:pPr>
        <w:pStyle w:val="Heading3"/>
        <w:spacing w:before="66"/>
        <w:ind w:left="1089" w:right="1222"/>
        <w:jc w:val="center"/>
      </w:pPr>
      <w:bookmarkStart w:name="_bookmark81" w:id="82"/>
      <w:bookmarkEnd w:id="82"/>
      <w:r>
        <w:rPr>
          <w:b w:val="0"/>
        </w:rPr>
      </w:r>
      <w:r>
        <w:rPr>
          <w:spacing w:val="-2"/>
        </w:rPr>
        <w:t>Instrumento</w:t>
      </w:r>
    </w:p>
    <w:p>
      <w:pPr>
        <w:pStyle w:val="BodyText"/>
        <w:spacing w:before="2"/>
        <w:rPr>
          <w:b/>
        </w:rPr>
      </w:pPr>
    </w:p>
    <w:p>
      <w:pPr>
        <w:spacing w:line="259" w:lineRule="auto" w:before="0"/>
        <w:ind w:left="2446" w:right="1251" w:hanging="490"/>
        <w:jc w:val="left"/>
        <w:rPr>
          <w:rFonts w:ascii="Arial" w:hAnsi="Arial"/>
          <w:b/>
          <w:sz w:val="22"/>
        </w:rPr>
      </w:pPr>
      <w:r>
        <w:rPr>
          <w:rFonts w:ascii="Arial" w:hAnsi="Arial"/>
          <w:b/>
          <w:sz w:val="22"/>
        </w:rPr>
        <w:t>Universidad</w:t>
      </w:r>
      <w:r>
        <w:rPr>
          <w:rFonts w:ascii="Arial" w:hAnsi="Arial"/>
          <w:b/>
          <w:spacing w:val="-9"/>
          <w:sz w:val="22"/>
        </w:rPr>
        <w:t> </w:t>
      </w:r>
      <w:r>
        <w:rPr>
          <w:rFonts w:ascii="Arial" w:hAnsi="Arial"/>
          <w:b/>
          <w:sz w:val="22"/>
        </w:rPr>
        <w:t>Andina</w:t>
      </w:r>
      <w:r>
        <w:rPr>
          <w:rFonts w:ascii="Arial" w:hAnsi="Arial"/>
          <w:b/>
          <w:spacing w:val="-9"/>
          <w:sz w:val="22"/>
        </w:rPr>
        <w:t> </w:t>
      </w:r>
      <w:r>
        <w:rPr>
          <w:rFonts w:ascii="Arial" w:hAnsi="Arial"/>
          <w:b/>
          <w:sz w:val="22"/>
        </w:rPr>
        <w:t>Néstor</w:t>
      </w:r>
      <w:r>
        <w:rPr>
          <w:rFonts w:ascii="Arial" w:hAnsi="Arial"/>
          <w:b/>
          <w:spacing w:val="-9"/>
          <w:sz w:val="22"/>
        </w:rPr>
        <w:t> </w:t>
      </w:r>
      <w:r>
        <w:rPr>
          <w:rFonts w:ascii="Arial" w:hAnsi="Arial"/>
          <w:b/>
          <w:sz w:val="22"/>
        </w:rPr>
        <w:t>Cáceres</w:t>
      </w:r>
      <w:r>
        <w:rPr>
          <w:rFonts w:ascii="Arial" w:hAnsi="Arial"/>
          <w:b/>
          <w:spacing w:val="-9"/>
          <w:sz w:val="22"/>
        </w:rPr>
        <w:t> </w:t>
      </w:r>
      <w:r>
        <w:rPr>
          <w:rFonts w:ascii="Arial" w:hAnsi="Arial"/>
          <w:b/>
          <w:sz w:val="22"/>
        </w:rPr>
        <w:t>Velásquez Facultad de Ciencias Administrativas</w:t>
      </w:r>
    </w:p>
    <w:p>
      <w:pPr>
        <w:spacing w:before="0"/>
        <w:ind w:left="1902" w:right="0" w:firstLine="0"/>
        <w:jc w:val="left"/>
        <w:rPr>
          <w:rFonts w:ascii="Arial" w:hAnsi="Arial"/>
          <w:b/>
          <w:sz w:val="22"/>
        </w:rPr>
      </w:pPr>
      <w:r>
        <w:rPr>
          <w:rFonts w:ascii="Arial" w:hAnsi="Arial"/>
          <w:b/>
          <w:sz w:val="22"/>
        </w:rPr>
        <w:t>E.P.</w:t>
      </w:r>
      <w:r>
        <w:rPr>
          <w:rFonts w:ascii="Arial" w:hAnsi="Arial"/>
          <w:b/>
          <w:spacing w:val="-4"/>
          <w:sz w:val="22"/>
        </w:rPr>
        <w:t> </w:t>
      </w:r>
      <w:r>
        <w:rPr>
          <w:rFonts w:ascii="Arial" w:hAnsi="Arial"/>
          <w:b/>
          <w:sz w:val="22"/>
        </w:rPr>
        <w:t>Administración</w:t>
      </w:r>
      <w:r>
        <w:rPr>
          <w:rFonts w:ascii="Arial" w:hAnsi="Arial"/>
          <w:b/>
          <w:spacing w:val="-4"/>
          <w:sz w:val="22"/>
        </w:rPr>
        <w:t> </w:t>
      </w:r>
      <w:r>
        <w:rPr>
          <w:rFonts w:ascii="Arial" w:hAnsi="Arial"/>
          <w:b/>
          <w:sz w:val="22"/>
        </w:rPr>
        <w:t>y</w:t>
      </w:r>
      <w:r>
        <w:rPr>
          <w:rFonts w:ascii="Arial" w:hAnsi="Arial"/>
          <w:b/>
          <w:spacing w:val="-4"/>
          <w:sz w:val="22"/>
        </w:rPr>
        <w:t> </w:t>
      </w:r>
      <w:r>
        <w:rPr>
          <w:rFonts w:ascii="Arial" w:hAnsi="Arial"/>
          <w:b/>
          <w:sz w:val="22"/>
        </w:rPr>
        <w:t>Negocios</w:t>
      </w:r>
      <w:r>
        <w:rPr>
          <w:rFonts w:ascii="Arial" w:hAnsi="Arial"/>
          <w:b/>
          <w:spacing w:val="-4"/>
          <w:sz w:val="22"/>
        </w:rPr>
        <w:t> </w:t>
      </w:r>
      <w:r>
        <w:rPr>
          <w:rFonts w:ascii="Arial" w:hAnsi="Arial"/>
          <w:b/>
          <w:spacing w:val="-2"/>
          <w:sz w:val="22"/>
        </w:rPr>
        <w:t>Internacionales</w:t>
      </w:r>
    </w:p>
    <w:p>
      <w:pPr>
        <w:pStyle w:val="BodyText"/>
        <w:spacing w:before="40"/>
        <w:rPr>
          <w:rFonts w:ascii="Arial"/>
          <w:b/>
          <w:sz w:val="22"/>
        </w:rPr>
      </w:pPr>
    </w:p>
    <w:p>
      <w:pPr>
        <w:spacing w:line="259" w:lineRule="auto" w:before="0"/>
        <w:ind w:left="2" w:right="138" w:firstLine="0"/>
        <w:jc w:val="both"/>
        <w:rPr>
          <w:rFonts w:ascii="Arial" w:hAnsi="Arial"/>
          <w:b/>
          <w:sz w:val="22"/>
        </w:rPr>
      </w:pPr>
      <w:r>
        <w:rPr>
          <w:rFonts w:ascii="Arial" w:hAnsi="Arial"/>
          <w:b/>
          <w:sz w:val="22"/>
        </w:rPr>
        <w:t>Título:</w:t>
      </w:r>
      <w:r>
        <w:rPr>
          <w:rFonts w:ascii="Arial" w:hAnsi="Arial"/>
          <w:b/>
          <w:spacing w:val="-10"/>
          <w:sz w:val="22"/>
        </w:rPr>
        <w:t> </w:t>
      </w:r>
      <w:r>
        <w:rPr>
          <w:rFonts w:ascii="Arial" w:hAnsi="Arial"/>
          <w:b/>
          <w:sz w:val="22"/>
        </w:rPr>
        <w:t>EL</w:t>
      </w:r>
      <w:r>
        <w:rPr>
          <w:rFonts w:ascii="Arial" w:hAnsi="Arial"/>
          <w:b/>
          <w:spacing w:val="-10"/>
          <w:sz w:val="22"/>
        </w:rPr>
        <w:t> </w:t>
      </w:r>
      <w:r>
        <w:rPr>
          <w:rFonts w:ascii="Arial" w:hAnsi="Arial"/>
          <w:b/>
          <w:sz w:val="22"/>
        </w:rPr>
        <w:t>IMPUESTO</w:t>
      </w:r>
      <w:r>
        <w:rPr>
          <w:rFonts w:ascii="Arial" w:hAnsi="Arial"/>
          <w:b/>
          <w:spacing w:val="-9"/>
          <w:sz w:val="22"/>
        </w:rPr>
        <w:t> </w:t>
      </w:r>
      <w:r>
        <w:rPr>
          <w:rFonts w:ascii="Arial" w:hAnsi="Arial"/>
          <w:b/>
          <w:sz w:val="22"/>
        </w:rPr>
        <w:t>GENERAL</w:t>
      </w:r>
      <w:r>
        <w:rPr>
          <w:rFonts w:ascii="Arial" w:hAnsi="Arial"/>
          <w:b/>
          <w:spacing w:val="-10"/>
          <w:sz w:val="22"/>
        </w:rPr>
        <w:t> </w:t>
      </w:r>
      <w:r>
        <w:rPr>
          <w:rFonts w:ascii="Arial" w:hAnsi="Arial"/>
          <w:b/>
          <w:sz w:val="22"/>
        </w:rPr>
        <w:t>DE</w:t>
      </w:r>
      <w:r>
        <w:rPr>
          <w:rFonts w:ascii="Arial" w:hAnsi="Arial"/>
          <w:b/>
          <w:spacing w:val="-10"/>
          <w:sz w:val="22"/>
        </w:rPr>
        <w:t> </w:t>
      </w:r>
      <w:r>
        <w:rPr>
          <w:rFonts w:ascii="Arial" w:hAnsi="Arial"/>
          <w:b/>
          <w:sz w:val="22"/>
        </w:rPr>
        <w:t>LAS</w:t>
      </w:r>
      <w:r>
        <w:rPr>
          <w:rFonts w:ascii="Arial" w:hAnsi="Arial"/>
          <w:b/>
          <w:spacing w:val="-10"/>
          <w:sz w:val="22"/>
        </w:rPr>
        <w:t> </w:t>
      </w:r>
      <w:r>
        <w:rPr>
          <w:rFonts w:ascii="Arial" w:hAnsi="Arial"/>
          <w:b/>
          <w:sz w:val="22"/>
        </w:rPr>
        <w:t>VENTAS</w:t>
      </w:r>
      <w:r>
        <w:rPr>
          <w:rFonts w:ascii="Arial" w:hAnsi="Arial"/>
          <w:b/>
          <w:spacing w:val="-10"/>
          <w:sz w:val="22"/>
        </w:rPr>
        <w:t> </w:t>
      </w:r>
      <w:r>
        <w:rPr>
          <w:rFonts w:ascii="Arial" w:hAnsi="Arial"/>
          <w:b/>
          <w:sz w:val="22"/>
        </w:rPr>
        <w:t>EN</w:t>
      </w:r>
      <w:r>
        <w:rPr>
          <w:rFonts w:ascii="Arial" w:hAnsi="Arial"/>
          <w:b/>
          <w:spacing w:val="-10"/>
          <w:sz w:val="22"/>
        </w:rPr>
        <w:t> </w:t>
      </w:r>
      <w:r>
        <w:rPr>
          <w:rFonts w:ascii="Arial" w:hAnsi="Arial"/>
          <w:b/>
          <w:sz w:val="22"/>
        </w:rPr>
        <w:t>LA</w:t>
      </w:r>
      <w:r>
        <w:rPr>
          <w:rFonts w:ascii="Arial" w:hAnsi="Arial"/>
          <w:b/>
          <w:spacing w:val="-9"/>
          <w:sz w:val="22"/>
        </w:rPr>
        <w:t> </w:t>
      </w:r>
      <w:r>
        <w:rPr>
          <w:rFonts w:ascii="Arial" w:hAnsi="Arial"/>
          <w:b/>
          <w:sz w:val="22"/>
        </w:rPr>
        <w:t>PERCEPCIÓN</w:t>
      </w:r>
      <w:r>
        <w:rPr>
          <w:rFonts w:ascii="Arial" w:hAnsi="Arial"/>
          <w:b/>
          <w:spacing w:val="-10"/>
          <w:sz w:val="22"/>
        </w:rPr>
        <w:t> </w:t>
      </w:r>
      <w:r>
        <w:rPr>
          <w:rFonts w:ascii="Arial" w:hAnsi="Arial"/>
          <w:b/>
          <w:sz w:val="22"/>
        </w:rPr>
        <w:t>ECONÓMICA DE</w:t>
      </w:r>
      <w:r>
        <w:rPr>
          <w:rFonts w:ascii="Arial" w:hAnsi="Arial"/>
          <w:b/>
          <w:spacing w:val="-16"/>
          <w:sz w:val="22"/>
        </w:rPr>
        <w:t> </w:t>
      </w:r>
      <w:r>
        <w:rPr>
          <w:rFonts w:ascii="Arial" w:hAnsi="Arial"/>
          <w:b/>
          <w:sz w:val="22"/>
        </w:rPr>
        <w:t>LOS</w:t>
      </w:r>
      <w:r>
        <w:rPr>
          <w:rFonts w:ascii="Arial" w:hAnsi="Arial"/>
          <w:b/>
          <w:spacing w:val="-15"/>
          <w:sz w:val="22"/>
        </w:rPr>
        <w:t> </w:t>
      </w:r>
      <w:r>
        <w:rPr>
          <w:rFonts w:ascii="Arial" w:hAnsi="Arial"/>
          <w:b/>
          <w:sz w:val="22"/>
        </w:rPr>
        <w:t>COMERCIANTES</w:t>
      </w:r>
      <w:r>
        <w:rPr>
          <w:rFonts w:ascii="Arial" w:hAnsi="Arial"/>
          <w:b/>
          <w:spacing w:val="-15"/>
          <w:sz w:val="22"/>
        </w:rPr>
        <w:t> </w:t>
      </w:r>
      <w:r>
        <w:rPr>
          <w:rFonts w:ascii="Arial" w:hAnsi="Arial"/>
          <w:b/>
          <w:sz w:val="22"/>
        </w:rPr>
        <w:t>DEL</w:t>
      </w:r>
      <w:r>
        <w:rPr>
          <w:rFonts w:ascii="Arial" w:hAnsi="Arial"/>
          <w:b/>
          <w:spacing w:val="-16"/>
          <w:sz w:val="22"/>
        </w:rPr>
        <w:t> </w:t>
      </w:r>
      <w:r>
        <w:rPr>
          <w:rFonts w:ascii="Arial" w:hAnsi="Arial"/>
          <w:b/>
          <w:sz w:val="22"/>
        </w:rPr>
        <w:t>CENTRO</w:t>
      </w:r>
      <w:r>
        <w:rPr>
          <w:rFonts w:ascii="Arial" w:hAnsi="Arial"/>
          <w:b/>
          <w:spacing w:val="-15"/>
          <w:sz w:val="22"/>
        </w:rPr>
        <w:t> </w:t>
      </w:r>
      <w:r>
        <w:rPr>
          <w:rFonts w:ascii="Arial" w:hAnsi="Arial"/>
          <w:b/>
          <w:sz w:val="22"/>
        </w:rPr>
        <w:t>DE</w:t>
      </w:r>
      <w:r>
        <w:rPr>
          <w:rFonts w:ascii="Arial" w:hAnsi="Arial"/>
          <w:b/>
          <w:spacing w:val="-15"/>
          <w:sz w:val="22"/>
        </w:rPr>
        <w:t> </w:t>
      </w:r>
      <w:r>
        <w:rPr>
          <w:rFonts w:ascii="Arial" w:hAnsi="Arial"/>
          <w:b/>
          <w:sz w:val="22"/>
        </w:rPr>
        <w:t>ABASTOS</w:t>
      </w:r>
      <w:r>
        <w:rPr>
          <w:rFonts w:ascii="Arial" w:hAnsi="Arial"/>
          <w:b/>
          <w:spacing w:val="-15"/>
          <w:sz w:val="22"/>
        </w:rPr>
        <w:t> </w:t>
      </w:r>
      <w:r>
        <w:rPr>
          <w:rFonts w:ascii="Arial" w:hAnsi="Arial"/>
          <w:b/>
          <w:sz w:val="22"/>
        </w:rPr>
        <w:t>LAS</w:t>
      </w:r>
      <w:r>
        <w:rPr>
          <w:rFonts w:ascii="Arial" w:hAnsi="Arial"/>
          <w:b/>
          <w:spacing w:val="-16"/>
          <w:sz w:val="22"/>
        </w:rPr>
        <w:t> </w:t>
      </w:r>
      <w:r>
        <w:rPr>
          <w:rFonts w:ascii="Arial" w:hAnsi="Arial"/>
          <w:b/>
          <w:sz w:val="22"/>
        </w:rPr>
        <w:t>MERCEDES</w:t>
      </w:r>
      <w:r>
        <w:rPr>
          <w:rFonts w:ascii="Arial" w:hAnsi="Arial"/>
          <w:b/>
          <w:spacing w:val="-15"/>
          <w:sz w:val="22"/>
        </w:rPr>
        <w:t> </w:t>
      </w:r>
      <w:r>
        <w:rPr>
          <w:rFonts w:ascii="Arial" w:hAnsi="Arial"/>
          <w:b/>
          <w:sz w:val="22"/>
        </w:rPr>
        <w:t>DE</w:t>
      </w:r>
      <w:r>
        <w:rPr>
          <w:rFonts w:ascii="Arial" w:hAnsi="Arial"/>
          <w:b/>
          <w:spacing w:val="-15"/>
          <w:sz w:val="22"/>
        </w:rPr>
        <w:t> </w:t>
      </w:r>
      <w:r>
        <w:rPr>
          <w:rFonts w:ascii="Arial" w:hAnsi="Arial"/>
          <w:b/>
          <w:sz w:val="22"/>
        </w:rPr>
        <w:t>JULIACA, </w:t>
      </w:r>
      <w:r>
        <w:rPr>
          <w:rFonts w:ascii="Arial" w:hAnsi="Arial"/>
          <w:b/>
          <w:spacing w:val="-4"/>
          <w:sz w:val="22"/>
        </w:rPr>
        <w:t>2023</w:t>
      </w:r>
    </w:p>
    <w:p>
      <w:pPr>
        <w:spacing w:before="160"/>
        <w:ind w:left="0" w:right="134" w:firstLine="0"/>
        <w:jc w:val="center"/>
        <w:rPr>
          <w:rFonts w:ascii="Arial"/>
          <w:b/>
          <w:sz w:val="22"/>
        </w:rPr>
      </w:pPr>
      <w:r>
        <w:rPr>
          <w:rFonts w:ascii="Arial"/>
          <w:b/>
          <w:spacing w:val="-2"/>
          <w:sz w:val="22"/>
          <w:u w:val="single"/>
        </w:rPr>
        <w:t>Cuestionario</w:t>
      </w:r>
    </w:p>
    <w:p>
      <w:pPr>
        <w:spacing w:line="259" w:lineRule="auto" w:before="179"/>
        <w:ind w:left="2" w:right="137" w:firstLine="0"/>
        <w:jc w:val="both"/>
        <w:rPr>
          <w:rFonts w:ascii="Arial MT" w:hAnsi="Arial MT"/>
          <w:sz w:val="22"/>
        </w:rPr>
      </w:pPr>
      <w:r>
        <w:rPr>
          <w:rFonts w:ascii="Arial MT" w:hAnsi="Arial MT"/>
          <w:sz w:val="22"/>
        </w:rPr>
        <w:t>El presente cuestionario tiene como objetivo explicar la influencia del Impuesto General a las Ventas (IGV) en la percepción económica de los comerciantes del Centro de Abastos Las Mercedes de Juliaca durante el año 2023. Le solicitamos que responda cada una de las</w:t>
      </w:r>
      <w:r>
        <w:rPr>
          <w:rFonts w:ascii="Arial MT" w:hAnsi="Arial MT"/>
          <w:spacing w:val="-12"/>
          <w:sz w:val="22"/>
        </w:rPr>
        <w:t> </w:t>
      </w:r>
      <w:r>
        <w:rPr>
          <w:rFonts w:ascii="Arial MT" w:hAnsi="Arial MT"/>
          <w:sz w:val="22"/>
        </w:rPr>
        <w:t>preguntas</w:t>
      </w:r>
      <w:r>
        <w:rPr>
          <w:rFonts w:ascii="Arial MT" w:hAnsi="Arial MT"/>
          <w:spacing w:val="-12"/>
          <w:sz w:val="22"/>
        </w:rPr>
        <w:t> </w:t>
      </w:r>
      <w:r>
        <w:rPr>
          <w:rFonts w:ascii="Arial MT" w:hAnsi="Arial MT"/>
          <w:sz w:val="22"/>
        </w:rPr>
        <w:t>con</w:t>
      </w:r>
      <w:r>
        <w:rPr>
          <w:rFonts w:ascii="Arial MT" w:hAnsi="Arial MT"/>
          <w:spacing w:val="-12"/>
          <w:sz w:val="22"/>
        </w:rPr>
        <w:t> </w:t>
      </w:r>
      <w:r>
        <w:rPr>
          <w:rFonts w:ascii="Arial MT" w:hAnsi="Arial MT"/>
          <w:sz w:val="22"/>
        </w:rPr>
        <w:t>la</w:t>
      </w:r>
      <w:r>
        <w:rPr>
          <w:rFonts w:ascii="Arial MT" w:hAnsi="Arial MT"/>
          <w:spacing w:val="-14"/>
          <w:sz w:val="22"/>
        </w:rPr>
        <w:t> </w:t>
      </w:r>
      <w:r>
        <w:rPr>
          <w:rFonts w:ascii="Arial MT" w:hAnsi="Arial MT"/>
          <w:sz w:val="22"/>
        </w:rPr>
        <w:t>mayor</w:t>
      </w:r>
      <w:r>
        <w:rPr>
          <w:rFonts w:ascii="Arial MT" w:hAnsi="Arial MT"/>
          <w:spacing w:val="-11"/>
          <w:sz w:val="22"/>
        </w:rPr>
        <w:t> </w:t>
      </w:r>
      <w:r>
        <w:rPr>
          <w:rFonts w:ascii="Arial MT" w:hAnsi="Arial MT"/>
          <w:sz w:val="22"/>
        </w:rPr>
        <w:t>precisión</w:t>
      </w:r>
      <w:r>
        <w:rPr>
          <w:rFonts w:ascii="Arial MT" w:hAnsi="Arial MT"/>
          <w:spacing w:val="-12"/>
          <w:sz w:val="22"/>
        </w:rPr>
        <w:t> </w:t>
      </w:r>
      <w:r>
        <w:rPr>
          <w:rFonts w:ascii="Arial MT" w:hAnsi="Arial MT"/>
          <w:sz w:val="22"/>
        </w:rPr>
        <w:t>y</w:t>
      </w:r>
      <w:r>
        <w:rPr>
          <w:rFonts w:ascii="Arial MT" w:hAnsi="Arial MT"/>
          <w:spacing w:val="-12"/>
          <w:sz w:val="22"/>
        </w:rPr>
        <w:t> </w:t>
      </w:r>
      <w:r>
        <w:rPr>
          <w:rFonts w:ascii="Arial MT" w:hAnsi="Arial MT"/>
          <w:sz w:val="22"/>
        </w:rPr>
        <w:t>objetividad</w:t>
      </w:r>
      <w:r>
        <w:rPr>
          <w:rFonts w:ascii="Arial MT" w:hAnsi="Arial MT"/>
          <w:spacing w:val="-13"/>
          <w:sz w:val="22"/>
        </w:rPr>
        <w:t> </w:t>
      </w:r>
      <w:r>
        <w:rPr>
          <w:rFonts w:ascii="Arial MT" w:hAnsi="Arial MT"/>
          <w:sz w:val="22"/>
        </w:rPr>
        <w:t>posible.</w:t>
      </w:r>
      <w:r>
        <w:rPr>
          <w:rFonts w:ascii="Arial MT" w:hAnsi="Arial MT"/>
          <w:spacing w:val="-11"/>
          <w:sz w:val="22"/>
        </w:rPr>
        <w:t> </w:t>
      </w:r>
      <w:r>
        <w:rPr>
          <w:rFonts w:ascii="Arial MT" w:hAnsi="Arial MT"/>
          <w:sz w:val="22"/>
        </w:rPr>
        <w:t>Su</w:t>
      </w:r>
      <w:r>
        <w:rPr>
          <w:rFonts w:ascii="Arial MT" w:hAnsi="Arial MT"/>
          <w:spacing w:val="-12"/>
          <w:sz w:val="22"/>
        </w:rPr>
        <w:t> </w:t>
      </w:r>
      <w:r>
        <w:rPr>
          <w:rFonts w:ascii="Arial MT" w:hAnsi="Arial MT"/>
          <w:sz w:val="22"/>
        </w:rPr>
        <w:t>colaboración</w:t>
      </w:r>
      <w:r>
        <w:rPr>
          <w:rFonts w:ascii="Arial MT" w:hAnsi="Arial MT"/>
          <w:spacing w:val="-12"/>
          <w:sz w:val="22"/>
        </w:rPr>
        <w:t> </w:t>
      </w:r>
      <w:r>
        <w:rPr>
          <w:rFonts w:ascii="Arial MT" w:hAnsi="Arial MT"/>
          <w:sz w:val="22"/>
        </w:rPr>
        <w:t>es</w:t>
      </w:r>
      <w:r>
        <w:rPr>
          <w:rFonts w:ascii="Arial MT" w:hAnsi="Arial MT"/>
          <w:spacing w:val="-12"/>
          <w:sz w:val="22"/>
        </w:rPr>
        <w:t> </w:t>
      </w:r>
      <w:r>
        <w:rPr>
          <w:rFonts w:ascii="Arial MT" w:hAnsi="Arial MT"/>
          <w:sz w:val="22"/>
        </w:rPr>
        <w:t>fundamental para el éxito de este estudio, y le agradecemos de antemano su valiosa participación.</w:t>
      </w:r>
    </w:p>
    <w:p>
      <w:pPr>
        <w:pStyle w:val="BodyText"/>
        <w:spacing w:before="12"/>
        <w:rPr>
          <w:rFonts w:ascii="Arial MT"/>
          <w:sz w:val="20"/>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8"/>
        <w:gridCol w:w="2938"/>
        <w:gridCol w:w="2634"/>
      </w:tblGrid>
      <w:tr>
        <w:trPr>
          <w:trHeight w:val="431" w:hRule="atLeast"/>
        </w:trPr>
        <w:tc>
          <w:tcPr>
            <w:tcW w:w="2928" w:type="dxa"/>
          </w:tcPr>
          <w:p>
            <w:pPr>
              <w:pStyle w:val="TableParagraph"/>
              <w:spacing w:before="1"/>
              <w:ind w:left="466"/>
              <w:rPr>
                <w:sz w:val="22"/>
              </w:rPr>
            </w:pPr>
            <w:r>
              <w:rPr>
                <w:rFonts w:ascii="Arial"/>
                <w:b/>
                <w:sz w:val="22"/>
              </w:rPr>
              <w:t>1.</w:t>
            </w:r>
            <w:r>
              <w:rPr>
                <w:rFonts w:ascii="Arial"/>
                <w:b/>
                <w:spacing w:val="26"/>
                <w:sz w:val="22"/>
              </w:rPr>
              <w:t>  </w:t>
            </w:r>
            <w:r>
              <w:rPr>
                <w:sz w:val="22"/>
              </w:rPr>
              <w:t>Muy en</w:t>
            </w:r>
            <w:r>
              <w:rPr>
                <w:spacing w:val="-1"/>
                <w:sz w:val="22"/>
              </w:rPr>
              <w:t> </w:t>
            </w:r>
            <w:r>
              <w:rPr>
                <w:spacing w:val="-2"/>
                <w:sz w:val="22"/>
              </w:rPr>
              <w:t>Desacuerdo</w:t>
            </w:r>
          </w:p>
        </w:tc>
        <w:tc>
          <w:tcPr>
            <w:tcW w:w="2938" w:type="dxa"/>
            <w:vMerge w:val="restart"/>
          </w:tcPr>
          <w:p>
            <w:pPr>
              <w:pStyle w:val="TableParagraph"/>
              <w:spacing w:before="221"/>
              <w:ind w:left="467"/>
              <w:rPr>
                <w:sz w:val="22"/>
              </w:rPr>
            </w:pPr>
            <w:r>
              <w:rPr>
                <w:rFonts w:ascii="Arial"/>
                <w:b/>
                <w:sz w:val="22"/>
              </w:rPr>
              <w:t>2.</w:t>
            </w:r>
            <w:r>
              <w:rPr>
                <w:rFonts w:ascii="Arial"/>
                <w:b/>
                <w:spacing w:val="26"/>
                <w:sz w:val="22"/>
              </w:rPr>
              <w:t>  </w:t>
            </w:r>
            <w:r>
              <w:rPr>
                <w:sz w:val="22"/>
              </w:rPr>
              <w:t>En</w:t>
            </w:r>
            <w:r>
              <w:rPr>
                <w:spacing w:val="-1"/>
                <w:sz w:val="22"/>
              </w:rPr>
              <w:t> </w:t>
            </w:r>
            <w:r>
              <w:rPr>
                <w:spacing w:val="-2"/>
                <w:sz w:val="22"/>
              </w:rPr>
              <w:t>Desacuerdo</w:t>
            </w:r>
          </w:p>
        </w:tc>
        <w:tc>
          <w:tcPr>
            <w:tcW w:w="2634" w:type="dxa"/>
          </w:tcPr>
          <w:p>
            <w:pPr>
              <w:pStyle w:val="TableParagraph"/>
              <w:spacing w:before="1"/>
              <w:ind w:left="469"/>
              <w:rPr>
                <w:sz w:val="22"/>
              </w:rPr>
            </w:pPr>
            <w:r>
              <w:rPr>
                <w:rFonts w:ascii="Arial"/>
                <w:b/>
                <w:sz w:val="22"/>
              </w:rPr>
              <w:t>3.</w:t>
            </w:r>
            <w:r>
              <w:rPr>
                <w:rFonts w:ascii="Arial"/>
                <w:b/>
                <w:spacing w:val="26"/>
                <w:sz w:val="22"/>
              </w:rPr>
              <w:t>  </w:t>
            </w:r>
            <w:r>
              <w:rPr>
                <w:spacing w:val="-2"/>
                <w:sz w:val="22"/>
              </w:rPr>
              <w:t>Neutral</w:t>
            </w:r>
          </w:p>
        </w:tc>
      </w:tr>
      <w:tr>
        <w:trPr>
          <w:trHeight w:val="434" w:hRule="atLeast"/>
        </w:trPr>
        <w:tc>
          <w:tcPr>
            <w:tcW w:w="2928" w:type="dxa"/>
          </w:tcPr>
          <w:p>
            <w:pPr>
              <w:pStyle w:val="TableParagraph"/>
              <w:spacing w:before="1"/>
              <w:ind w:left="466"/>
              <w:rPr>
                <w:sz w:val="22"/>
              </w:rPr>
            </w:pPr>
            <w:r>
              <w:rPr>
                <w:rFonts w:ascii="Arial"/>
                <w:b/>
                <w:sz w:val="22"/>
              </w:rPr>
              <w:t>4.</w:t>
            </w:r>
            <w:r>
              <w:rPr>
                <w:rFonts w:ascii="Arial"/>
                <w:b/>
                <w:spacing w:val="25"/>
                <w:sz w:val="22"/>
              </w:rPr>
              <w:t>  </w:t>
            </w:r>
            <w:r>
              <w:rPr>
                <w:sz w:val="22"/>
              </w:rPr>
              <w:t>De </w:t>
            </w:r>
            <w:r>
              <w:rPr>
                <w:spacing w:val="-2"/>
                <w:sz w:val="22"/>
              </w:rPr>
              <w:t>Acuerdo</w:t>
            </w:r>
          </w:p>
        </w:tc>
        <w:tc>
          <w:tcPr>
            <w:tcW w:w="2938" w:type="dxa"/>
            <w:vMerge/>
            <w:tcBorders>
              <w:top w:val="nil"/>
            </w:tcBorders>
          </w:tcPr>
          <w:p>
            <w:pPr>
              <w:rPr>
                <w:sz w:val="2"/>
                <w:szCs w:val="2"/>
              </w:rPr>
            </w:pPr>
          </w:p>
        </w:tc>
        <w:tc>
          <w:tcPr>
            <w:tcW w:w="2634" w:type="dxa"/>
          </w:tcPr>
          <w:p>
            <w:pPr>
              <w:pStyle w:val="TableParagraph"/>
              <w:spacing w:before="1"/>
              <w:ind w:left="469"/>
              <w:rPr>
                <w:sz w:val="22"/>
              </w:rPr>
            </w:pPr>
            <w:r>
              <w:rPr>
                <w:rFonts w:ascii="Arial"/>
                <w:b/>
                <w:sz w:val="22"/>
              </w:rPr>
              <w:t>5.</w:t>
            </w:r>
            <w:r>
              <w:rPr>
                <w:rFonts w:ascii="Arial"/>
                <w:b/>
                <w:spacing w:val="26"/>
                <w:sz w:val="22"/>
              </w:rPr>
              <w:t>  </w:t>
            </w:r>
            <w:r>
              <w:rPr>
                <w:sz w:val="22"/>
              </w:rPr>
              <w:t>Muy</w:t>
            </w:r>
            <w:r>
              <w:rPr>
                <w:spacing w:val="1"/>
                <w:sz w:val="22"/>
              </w:rPr>
              <w:t> </w:t>
            </w:r>
            <w:r>
              <w:rPr>
                <w:sz w:val="22"/>
              </w:rPr>
              <w:t>de</w:t>
            </w:r>
            <w:r>
              <w:rPr>
                <w:spacing w:val="-1"/>
                <w:sz w:val="22"/>
              </w:rPr>
              <w:t> </w:t>
            </w:r>
            <w:r>
              <w:rPr>
                <w:spacing w:val="-2"/>
                <w:sz w:val="22"/>
              </w:rPr>
              <w:t>Acuerdo</w:t>
            </w:r>
          </w:p>
        </w:tc>
      </w:tr>
    </w:tbl>
    <w:p>
      <w:pPr>
        <w:pStyle w:val="BodyText"/>
        <w:spacing w:before="203"/>
        <w:rPr>
          <w:rFonts w:ascii="Arial MT"/>
          <w:sz w:val="20"/>
        </w:rPr>
      </w:pPr>
    </w:p>
    <w:tbl>
      <w:tblPr>
        <w:tblW w:w="0" w:type="auto"/>
        <w:jc w:val="left"/>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5"/>
        <w:gridCol w:w="568"/>
        <w:gridCol w:w="567"/>
        <w:gridCol w:w="614"/>
        <w:gridCol w:w="540"/>
        <w:gridCol w:w="542"/>
      </w:tblGrid>
      <w:tr>
        <w:trPr>
          <w:trHeight w:val="267" w:hRule="atLeast"/>
        </w:trPr>
        <w:tc>
          <w:tcPr>
            <w:tcW w:w="5665" w:type="dxa"/>
            <w:vMerge w:val="restart"/>
          </w:tcPr>
          <w:p>
            <w:pPr>
              <w:pStyle w:val="TableParagraph"/>
              <w:ind w:left="106"/>
              <w:rPr>
                <w:rFonts w:ascii="Calibri"/>
                <w:b/>
                <w:sz w:val="22"/>
              </w:rPr>
            </w:pPr>
            <w:r>
              <w:rPr>
                <w:rFonts w:ascii="Calibri"/>
                <w:b/>
                <w:sz w:val="22"/>
              </w:rPr>
              <w:t>DIMENSIONES</w:t>
            </w:r>
            <w:r>
              <w:rPr>
                <w:rFonts w:ascii="Calibri"/>
                <w:b/>
                <w:spacing w:val="-3"/>
                <w:sz w:val="22"/>
              </w:rPr>
              <w:t> </w:t>
            </w:r>
            <w:r>
              <w:rPr>
                <w:rFonts w:ascii="Calibri"/>
                <w:b/>
                <w:sz w:val="22"/>
              </w:rPr>
              <w:t>DE</w:t>
            </w:r>
            <w:r>
              <w:rPr>
                <w:rFonts w:ascii="Calibri"/>
                <w:b/>
                <w:spacing w:val="-3"/>
                <w:sz w:val="22"/>
              </w:rPr>
              <w:t> </w:t>
            </w:r>
            <w:r>
              <w:rPr>
                <w:rFonts w:ascii="Calibri"/>
                <w:b/>
                <w:sz w:val="22"/>
              </w:rPr>
              <w:t>IMPUESTO</w:t>
            </w:r>
            <w:r>
              <w:rPr>
                <w:rFonts w:ascii="Calibri"/>
                <w:b/>
                <w:spacing w:val="-2"/>
                <w:sz w:val="22"/>
              </w:rPr>
              <w:t> </w:t>
            </w:r>
            <w:r>
              <w:rPr>
                <w:rFonts w:ascii="Calibri"/>
                <w:b/>
                <w:sz w:val="22"/>
              </w:rPr>
              <w:t>GENERAL</w:t>
            </w:r>
            <w:r>
              <w:rPr>
                <w:rFonts w:ascii="Calibri"/>
                <w:b/>
                <w:spacing w:val="-3"/>
                <w:sz w:val="22"/>
              </w:rPr>
              <w:t> </w:t>
            </w:r>
            <w:r>
              <w:rPr>
                <w:rFonts w:ascii="Calibri"/>
                <w:b/>
                <w:sz w:val="22"/>
              </w:rPr>
              <w:t>DE</w:t>
            </w:r>
            <w:r>
              <w:rPr>
                <w:rFonts w:ascii="Calibri"/>
                <w:b/>
                <w:spacing w:val="-3"/>
                <w:sz w:val="22"/>
              </w:rPr>
              <w:t> </w:t>
            </w:r>
            <w:r>
              <w:rPr>
                <w:rFonts w:ascii="Calibri"/>
                <w:b/>
                <w:sz w:val="22"/>
              </w:rPr>
              <w:t>LAS</w:t>
            </w:r>
            <w:r>
              <w:rPr>
                <w:rFonts w:ascii="Calibri"/>
                <w:b/>
                <w:spacing w:val="-2"/>
                <w:sz w:val="22"/>
              </w:rPr>
              <w:t> VENTAS</w:t>
            </w:r>
          </w:p>
        </w:tc>
        <w:tc>
          <w:tcPr>
            <w:tcW w:w="2831" w:type="dxa"/>
            <w:gridSpan w:val="5"/>
          </w:tcPr>
          <w:p>
            <w:pPr>
              <w:pStyle w:val="TableParagraph"/>
              <w:spacing w:line="247" w:lineRule="exact"/>
              <w:ind w:left="848"/>
              <w:rPr>
                <w:rFonts w:ascii="Calibri"/>
                <w:b/>
                <w:sz w:val="22"/>
              </w:rPr>
            </w:pPr>
            <w:r>
              <w:rPr>
                <w:rFonts w:ascii="Calibri"/>
                <w:b/>
                <w:sz w:val="22"/>
              </w:rPr>
              <w:t>Escala</w:t>
            </w:r>
            <w:r>
              <w:rPr>
                <w:rFonts w:ascii="Calibri"/>
                <w:b/>
                <w:spacing w:val="-2"/>
                <w:sz w:val="22"/>
              </w:rPr>
              <w:t> Likert</w:t>
            </w:r>
          </w:p>
        </w:tc>
      </w:tr>
      <w:tr>
        <w:trPr>
          <w:trHeight w:val="270" w:hRule="atLeast"/>
        </w:trPr>
        <w:tc>
          <w:tcPr>
            <w:tcW w:w="5665" w:type="dxa"/>
            <w:vMerge/>
            <w:tcBorders>
              <w:top w:val="nil"/>
            </w:tcBorders>
          </w:tcPr>
          <w:p>
            <w:pPr>
              <w:rPr>
                <w:sz w:val="2"/>
                <w:szCs w:val="2"/>
              </w:rPr>
            </w:pPr>
          </w:p>
        </w:tc>
        <w:tc>
          <w:tcPr>
            <w:tcW w:w="568" w:type="dxa"/>
          </w:tcPr>
          <w:p>
            <w:pPr>
              <w:pStyle w:val="TableParagraph"/>
              <w:spacing w:line="249" w:lineRule="exact"/>
              <w:ind w:left="6"/>
              <w:jc w:val="center"/>
              <w:rPr>
                <w:rFonts w:ascii="Calibri"/>
                <w:sz w:val="22"/>
              </w:rPr>
            </w:pPr>
            <w:r>
              <w:rPr>
                <w:rFonts w:ascii="Calibri"/>
                <w:spacing w:val="-10"/>
                <w:sz w:val="22"/>
              </w:rPr>
              <w:t>1</w:t>
            </w:r>
          </w:p>
        </w:tc>
        <w:tc>
          <w:tcPr>
            <w:tcW w:w="567" w:type="dxa"/>
          </w:tcPr>
          <w:p>
            <w:pPr>
              <w:pStyle w:val="TableParagraph"/>
              <w:spacing w:line="249" w:lineRule="exact"/>
              <w:ind w:left="7"/>
              <w:jc w:val="center"/>
              <w:rPr>
                <w:rFonts w:ascii="Calibri"/>
                <w:sz w:val="22"/>
              </w:rPr>
            </w:pPr>
            <w:r>
              <w:rPr>
                <w:rFonts w:ascii="Calibri"/>
                <w:spacing w:val="-10"/>
                <w:sz w:val="22"/>
              </w:rPr>
              <w:t>2</w:t>
            </w:r>
          </w:p>
        </w:tc>
        <w:tc>
          <w:tcPr>
            <w:tcW w:w="614" w:type="dxa"/>
          </w:tcPr>
          <w:p>
            <w:pPr>
              <w:pStyle w:val="TableParagraph"/>
              <w:spacing w:line="249" w:lineRule="exact"/>
              <w:ind w:left="3"/>
              <w:jc w:val="center"/>
              <w:rPr>
                <w:rFonts w:ascii="Calibri"/>
                <w:sz w:val="22"/>
              </w:rPr>
            </w:pPr>
            <w:r>
              <w:rPr>
                <w:rFonts w:ascii="Calibri"/>
                <w:spacing w:val="-10"/>
                <w:sz w:val="22"/>
              </w:rPr>
              <w:t>3</w:t>
            </w:r>
          </w:p>
        </w:tc>
        <w:tc>
          <w:tcPr>
            <w:tcW w:w="540" w:type="dxa"/>
          </w:tcPr>
          <w:p>
            <w:pPr>
              <w:pStyle w:val="TableParagraph"/>
              <w:spacing w:line="249" w:lineRule="exact"/>
              <w:ind w:left="5"/>
              <w:jc w:val="center"/>
              <w:rPr>
                <w:rFonts w:ascii="Calibri"/>
                <w:sz w:val="22"/>
              </w:rPr>
            </w:pPr>
            <w:r>
              <w:rPr>
                <w:rFonts w:ascii="Calibri"/>
                <w:spacing w:val="-10"/>
                <w:sz w:val="22"/>
              </w:rPr>
              <w:t>4</w:t>
            </w:r>
          </w:p>
        </w:tc>
        <w:tc>
          <w:tcPr>
            <w:tcW w:w="542" w:type="dxa"/>
          </w:tcPr>
          <w:p>
            <w:pPr>
              <w:pStyle w:val="TableParagraph"/>
              <w:spacing w:line="249" w:lineRule="exact"/>
              <w:ind w:left="3"/>
              <w:jc w:val="center"/>
              <w:rPr>
                <w:rFonts w:ascii="Calibri"/>
                <w:sz w:val="22"/>
              </w:rPr>
            </w:pPr>
            <w:r>
              <w:rPr>
                <w:rFonts w:ascii="Calibri"/>
                <w:spacing w:val="-10"/>
                <w:sz w:val="22"/>
              </w:rPr>
              <w:t>5</w:t>
            </w:r>
          </w:p>
        </w:tc>
      </w:tr>
      <w:tr>
        <w:trPr>
          <w:trHeight w:val="268" w:hRule="atLeast"/>
        </w:trPr>
        <w:tc>
          <w:tcPr>
            <w:tcW w:w="5665" w:type="dxa"/>
            <w:shd w:val="clear" w:color="auto" w:fill="ADAAAA"/>
          </w:tcPr>
          <w:p>
            <w:pPr>
              <w:pStyle w:val="TableParagraph"/>
              <w:spacing w:line="247" w:lineRule="exact"/>
              <w:ind w:left="106"/>
              <w:rPr>
                <w:rFonts w:ascii="Calibri" w:hAnsi="Calibri"/>
                <w:b/>
                <w:sz w:val="22"/>
              </w:rPr>
            </w:pPr>
            <w:r>
              <w:rPr>
                <w:rFonts w:ascii="Calibri" w:hAnsi="Calibri"/>
                <w:b/>
                <w:sz w:val="22"/>
              </w:rPr>
              <w:t>Estabilidad</w:t>
            </w:r>
            <w:r>
              <w:rPr>
                <w:rFonts w:ascii="Calibri" w:hAnsi="Calibri"/>
                <w:b/>
                <w:spacing w:val="-6"/>
                <w:sz w:val="22"/>
              </w:rPr>
              <w:t> </w:t>
            </w:r>
            <w:r>
              <w:rPr>
                <w:rFonts w:ascii="Calibri" w:hAnsi="Calibri"/>
                <w:b/>
                <w:spacing w:val="-2"/>
                <w:sz w:val="22"/>
              </w:rPr>
              <w:t>económica</w:t>
            </w:r>
          </w:p>
        </w:tc>
        <w:tc>
          <w:tcPr>
            <w:tcW w:w="568" w:type="dxa"/>
            <w:shd w:val="clear" w:color="auto" w:fill="ADAAAA"/>
          </w:tcPr>
          <w:p>
            <w:pPr>
              <w:pStyle w:val="TableParagraph"/>
              <w:rPr>
                <w:rFonts w:ascii="Times New Roman"/>
                <w:sz w:val="18"/>
              </w:rPr>
            </w:pPr>
          </w:p>
        </w:tc>
        <w:tc>
          <w:tcPr>
            <w:tcW w:w="567" w:type="dxa"/>
            <w:shd w:val="clear" w:color="auto" w:fill="ADAAAA"/>
          </w:tcPr>
          <w:p>
            <w:pPr>
              <w:pStyle w:val="TableParagraph"/>
              <w:rPr>
                <w:rFonts w:ascii="Times New Roman"/>
                <w:sz w:val="18"/>
              </w:rPr>
            </w:pPr>
          </w:p>
        </w:tc>
        <w:tc>
          <w:tcPr>
            <w:tcW w:w="614" w:type="dxa"/>
            <w:shd w:val="clear" w:color="auto" w:fill="ADAAAA"/>
          </w:tcPr>
          <w:p>
            <w:pPr>
              <w:pStyle w:val="TableParagraph"/>
              <w:rPr>
                <w:rFonts w:ascii="Times New Roman"/>
                <w:sz w:val="18"/>
              </w:rPr>
            </w:pPr>
          </w:p>
        </w:tc>
        <w:tc>
          <w:tcPr>
            <w:tcW w:w="540" w:type="dxa"/>
            <w:shd w:val="clear" w:color="auto" w:fill="ADAAAA"/>
          </w:tcPr>
          <w:p>
            <w:pPr>
              <w:pStyle w:val="TableParagraph"/>
              <w:rPr>
                <w:rFonts w:ascii="Times New Roman"/>
                <w:sz w:val="18"/>
              </w:rPr>
            </w:pPr>
          </w:p>
        </w:tc>
        <w:tc>
          <w:tcPr>
            <w:tcW w:w="542" w:type="dxa"/>
            <w:shd w:val="clear" w:color="auto" w:fill="ADAAAA"/>
          </w:tcPr>
          <w:p>
            <w:pPr>
              <w:pStyle w:val="TableParagraph"/>
              <w:rPr>
                <w:rFonts w:ascii="Times New Roman"/>
                <w:sz w:val="18"/>
              </w:rPr>
            </w:pPr>
          </w:p>
        </w:tc>
      </w:tr>
      <w:tr>
        <w:trPr>
          <w:trHeight w:val="806" w:hRule="atLeast"/>
        </w:trPr>
        <w:tc>
          <w:tcPr>
            <w:tcW w:w="5665" w:type="dxa"/>
          </w:tcPr>
          <w:p>
            <w:pPr>
              <w:pStyle w:val="TableParagraph"/>
              <w:tabs>
                <w:tab w:pos="827" w:val="left" w:leader="none"/>
              </w:tabs>
              <w:ind w:left="827" w:right="326" w:hanging="360"/>
              <w:rPr>
                <w:rFonts w:ascii="Calibri" w:hAnsi="Calibri"/>
                <w:sz w:val="22"/>
              </w:rPr>
            </w:pPr>
            <w:r>
              <w:rPr>
                <w:rFonts w:ascii="Calibri" w:hAnsi="Calibri"/>
                <w:spacing w:val="-6"/>
                <w:sz w:val="18"/>
              </w:rPr>
              <w:t>1.</w:t>
            </w:r>
            <w:r>
              <w:rPr>
                <w:rFonts w:ascii="Calibri" w:hAnsi="Calibri"/>
                <w:sz w:val="18"/>
              </w:rPr>
              <w:tab/>
            </w:r>
            <w:r>
              <w:rPr>
                <w:rFonts w:ascii="Calibri" w:hAnsi="Calibri"/>
                <w:sz w:val="22"/>
              </w:rPr>
              <w:t>¿Considera que sus ingresos han variado significativamente</w:t>
            </w:r>
            <w:r>
              <w:rPr>
                <w:rFonts w:ascii="Calibri" w:hAnsi="Calibri"/>
                <w:spacing w:val="-7"/>
                <w:sz w:val="22"/>
              </w:rPr>
              <w:t> </w:t>
            </w:r>
            <w:r>
              <w:rPr>
                <w:rFonts w:ascii="Calibri" w:hAnsi="Calibri"/>
                <w:sz w:val="22"/>
              </w:rPr>
              <w:t>después</w:t>
            </w:r>
            <w:r>
              <w:rPr>
                <w:rFonts w:ascii="Calibri" w:hAnsi="Calibri"/>
                <w:spacing w:val="-6"/>
                <w:sz w:val="22"/>
              </w:rPr>
              <w:t> </w:t>
            </w:r>
            <w:r>
              <w:rPr>
                <w:rFonts w:ascii="Calibri" w:hAnsi="Calibri"/>
                <w:sz w:val="22"/>
              </w:rPr>
              <w:t>de</w:t>
            </w:r>
            <w:r>
              <w:rPr>
                <w:rFonts w:ascii="Calibri" w:hAnsi="Calibri"/>
                <w:spacing w:val="-5"/>
                <w:sz w:val="22"/>
              </w:rPr>
              <w:t> </w:t>
            </w:r>
            <w:r>
              <w:rPr>
                <w:rFonts w:ascii="Calibri" w:hAnsi="Calibri"/>
                <w:sz w:val="22"/>
              </w:rPr>
              <w:t>cumplir</w:t>
            </w:r>
            <w:r>
              <w:rPr>
                <w:rFonts w:ascii="Calibri" w:hAnsi="Calibri"/>
                <w:spacing w:val="-7"/>
                <w:sz w:val="22"/>
              </w:rPr>
              <w:t> </w:t>
            </w:r>
            <w:r>
              <w:rPr>
                <w:rFonts w:ascii="Calibri" w:hAnsi="Calibri"/>
                <w:sz w:val="22"/>
              </w:rPr>
              <w:t>con</w:t>
            </w:r>
            <w:r>
              <w:rPr>
                <w:rFonts w:ascii="Calibri" w:hAnsi="Calibri"/>
                <w:spacing w:val="-7"/>
                <w:sz w:val="22"/>
              </w:rPr>
              <w:t> </w:t>
            </w:r>
            <w:r>
              <w:rPr>
                <w:rFonts w:ascii="Calibri" w:hAnsi="Calibri"/>
                <w:sz w:val="22"/>
              </w:rPr>
              <w:t>el</w:t>
            </w:r>
            <w:r>
              <w:rPr>
                <w:rFonts w:ascii="Calibri" w:hAnsi="Calibri"/>
                <w:spacing w:val="-8"/>
                <w:sz w:val="22"/>
              </w:rPr>
              <w:t> </w:t>
            </w:r>
            <w:r>
              <w:rPr>
                <w:rFonts w:ascii="Calibri" w:hAnsi="Calibri"/>
                <w:sz w:val="22"/>
              </w:rPr>
              <w:t>pago</w:t>
            </w:r>
          </w:p>
          <w:p>
            <w:pPr>
              <w:pStyle w:val="TableParagraph"/>
              <w:spacing w:line="248" w:lineRule="exact"/>
              <w:ind w:left="827"/>
              <w:rPr>
                <w:rFonts w:ascii="Calibri"/>
                <w:sz w:val="22"/>
              </w:rPr>
            </w:pPr>
            <w:r>
              <w:rPr>
                <w:rFonts w:ascii="Calibri"/>
                <w:sz w:val="22"/>
              </w:rPr>
              <w:t>del </w:t>
            </w:r>
            <w:r>
              <w:rPr>
                <w:rFonts w:ascii="Calibri"/>
                <w:spacing w:val="-4"/>
                <w:sz w:val="22"/>
              </w:rPr>
              <w:t>IGV?</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535" w:hRule="atLeast"/>
        </w:trPr>
        <w:tc>
          <w:tcPr>
            <w:tcW w:w="5665" w:type="dxa"/>
          </w:tcPr>
          <w:p>
            <w:pPr>
              <w:pStyle w:val="TableParagraph"/>
              <w:tabs>
                <w:tab w:pos="827" w:val="left" w:leader="none"/>
              </w:tabs>
              <w:spacing w:line="268" w:lineRule="exact"/>
              <w:ind w:left="467"/>
              <w:rPr>
                <w:rFonts w:ascii="Calibri" w:hAnsi="Calibri"/>
                <w:sz w:val="22"/>
              </w:rPr>
            </w:pPr>
            <w:r>
              <w:rPr>
                <w:rFonts w:ascii="Calibri" w:hAnsi="Calibri"/>
                <w:spacing w:val="-5"/>
                <w:sz w:val="18"/>
              </w:rPr>
              <w:t>2.</w:t>
            </w:r>
            <w:r>
              <w:rPr>
                <w:rFonts w:ascii="Calibri" w:hAnsi="Calibri"/>
                <w:sz w:val="18"/>
              </w:rPr>
              <w:tab/>
            </w:r>
            <w:r>
              <w:rPr>
                <w:rFonts w:ascii="Calibri" w:hAnsi="Calibri"/>
                <w:sz w:val="22"/>
              </w:rPr>
              <w:t>¿Cree</w:t>
            </w:r>
            <w:r>
              <w:rPr>
                <w:rFonts w:ascii="Calibri" w:hAnsi="Calibri"/>
                <w:spacing w:val="-2"/>
                <w:sz w:val="22"/>
              </w:rPr>
              <w:t> </w:t>
            </w:r>
            <w:r>
              <w:rPr>
                <w:rFonts w:ascii="Calibri" w:hAnsi="Calibri"/>
                <w:sz w:val="22"/>
              </w:rPr>
              <w:t>que</w:t>
            </w:r>
            <w:r>
              <w:rPr>
                <w:rFonts w:ascii="Calibri" w:hAnsi="Calibri"/>
                <w:spacing w:val="-4"/>
                <w:sz w:val="22"/>
              </w:rPr>
              <w:t> </w:t>
            </w:r>
            <w:r>
              <w:rPr>
                <w:rFonts w:ascii="Calibri" w:hAnsi="Calibri"/>
                <w:sz w:val="22"/>
              </w:rPr>
              <w:t>el</w:t>
            </w:r>
            <w:r>
              <w:rPr>
                <w:rFonts w:ascii="Calibri" w:hAnsi="Calibri"/>
                <w:spacing w:val="-2"/>
                <w:sz w:val="22"/>
              </w:rPr>
              <w:t> </w:t>
            </w:r>
            <w:r>
              <w:rPr>
                <w:rFonts w:ascii="Calibri" w:hAnsi="Calibri"/>
                <w:sz w:val="22"/>
              </w:rPr>
              <w:t>IGV</w:t>
            </w:r>
            <w:r>
              <w:rPr>
                <w:rFonts w:ascii="Calibri" w:hAnsi="Calibri"/>
                <w:spacing w:val="-4"/>
                <w:sz w:val="22"/>
              </w:rPr>
              <w:t> </w:t>
            </w:r>
            <w:r>
              <w:rPr>
                <w:rFonts w:ascii="Calibri" w:hAnsi="Calibri"/>
                <w:sz w:val="22"/>
              </w:rPr>
              <w:t>afecta</w:t>
            </w:r>
            <w:r>
              <w:rPr>
                <w:rFonts w:ascii="Calibri" w:hAnsi="Calibri"/>
                <w:spacing w:val="-2"/>
                <w:sz w:val="22"/>
              </w:rPr>
              <w:t> </w:t>
            </w:r>
            <w:r>
              <w:rPr>
                <w:rFonts w:ascii="Calibri" w:hAnsi="Calibri"/>
                <w:sz w:val="22"/>
              </w:rPr>
              <w:t>la</w:t>
            </w:r>
            <w:r>
              <w:rPr>
                <w:rFonts w:ascii="Calibri" w:hAnsi="Calibri"/>
                <w:spacing w:val="-3"/>
                <w:sz w:val="22"/>
              </w:rPr>
              <w:t> </w:t>
            </w:r>
            <w:r>
              <w:rPr>
                <w:rFonts w:ascii="Calibri" w:hAnsi="Calibri"/>
                <w:sz w:val="22"/>
              </w:rPr>
              <w:t>previsibilidad</w:t>
            </w:r>
            <w:r>
              <w:rPr>
                <w:rFonts w:ascii="Calibri" w:hAnsi="Calibri"/>
                <w:spacing w:val="-2"/>
                <w:sz w:val="22"/>
              </w:rPr>
              <w:t> </w:t>
            </w:r>
            <w:r>
              <w:rPr>
                <w:rFonts w:ascii="Calibri" w:hAnsi="Calibri"/>
                <w:sz w:val="22"/>
              </w:rPr>
              <w:t>de</w:t>
            </w:r>
            <w:r>
              <w:rPr>
                <w:rFonts w:ascii="Calibri" w:hAnsi="Calibri"/>
                <w:spacing w:val="-3"/>
                <w:sz w:val="22"/>
              </w:rPr>
              <w:t> </w:t>
            </w:r>
            <w:r>
              <w:rPr>
                <w:rFonts w:ascii="Calibri" w:hAnsi="Calibri"/>
                <w:spacing w:val="-5"/>
                <w:sz w:val="22"/>
              </w:rPr>
              <w:t>sus</w:t>
            </w:r>
          </w:p>
          <w:p>
            <w:pPr>
              <w:pStyle w:val="TableParagraph"/>
              <w:spacing w:line="247" w:lineRule="exact"/>
              <w:ind w:left="827"/>
              <w:rPr>
                <w:rFonts w:ascii="Calibri"/>
                <w:sz w:val="22"/>
              </w:rPr>
            </w:pPr>
            <w:r>
              <w:rPr>
                <w:rFonts w:ascii="Calibri"/>
                <w:sz w:val="22"/>
              </w:rPr>
              <w:t>costos</w:t>
            </w:r>
            <w:r>
              <w:rPr>
                <w:rFonts w:ascii="Calibri"/>
                <w:spacing w:val="-4"/>
                <w:sz w:val="22"/>
              </w:rPr>
              <w:t> </w:t>
            </w:r>
            <w:r>
              <w:rPr>
                <w:rFonts w:ascii="Calibri"/>
                <w:spacing w:val="-2"/>
                <w:sz w:val="22"/>
              </w:rPr>
              <w:t>operativos?</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538" w:hRule="atLeast"/>
        </w:trPr>
        <w:tc>
          <w:tcPr>
            <w:tcW w:w="5665" w:type="dxa"/>
          </w:tcPr>
          <w:p>
            <w:pPr>
              <w:pStyle w:val="TableParagraph"/>
              <w:tabs>
                <w:tab w:pos="827" w:val="left" w:leader="none"/>
              </w:tabs>
              <w:ind w:left="467"/>
              <w:rPr>
                <w:rFonts w:ascii="Calibri" w:hAnsi="Calibri"/>
                <w:sz w:val="22"/>
              </w:rPr>
            </w:pPr>
            <w:r>
              <w:rPr>
                <w:rFonts w:ascii="Calibri" w:hAnsi="Calibri"/>
                <w:spacing w:val="-5"/>
                <w:sz w:val="18"/>
              </w:rPr>
              <w:t>3.</w:t>
            </w:r>
            <w:r>
              <w:rPr>
                <w:rFonts w:ascii="Calibri" w:hAnsi="Calibri"/>
                <w:sz w:val="18"/>
              </w:rPr>
              <w:tab/>
            </w:r>
            <w:r>
              <w:rPr>
                <w:rFonts w:ascii="Calibri" w:hAnsi="Calibri"/>
                <w:sz w:val="22"/>
              </w:rPr>
              <w:t>¿Siente</w:t>
            </w:r>
            <w:r>
              <w:rPr>
                <w:rFonts w:ascii="Calibri" w:hAnsi="Calibri"/>
                <w:spacing w:val="-2"/>
                <w:sz w:val="22"/>
              </w:rPr>
              <w:t> </w:t>
            </w:r>
            <w:r>
              <w:rPr>
                <w:rFonts w:ascii="Calibri" w:hAnsi="Calibri"/>
                <w:sz w:val="22"/>
              </w:rPr>
              <w:t>que</w:t>
            </w:r>
            <w:r>
              <w:rPr>
                <w:rFonts w:ascii="Calibri" w:hAnsi="Calibri"/>
                <w:spacing w:val="-2"/>
                <w:sz w:val="22"/>
              </w:rPr>
              <w:t> </w:t>
            </w:r>
            <w:r>
              <w:rPr>
                <w:rFonts w:ascii="Calibri" w:hAnsi="Calibri"/>
                <w:sz w:val="22"/>
              </w:rPr>
              <w:t>sus</w:t>
            </w:r>
            <w:r>
              <w:rPr>
                <w:rFonts w:ascii="Calibri" w:hAnsi="Calibri"/>
                <w:spacing w:val="-4"/>
                <w:sz w:val="22"/>
              </w:rPr>
              <w:t> </w:t>
            </w:r>
            <w:r>
              <w:rPr>
                <w:rFonts w:ascii="Calibri" w:hAnsi="Calibri"/>
                <w:sz w:val="22"/>
              </w:rPr>
              <w:t>ventas</w:t>
            </w:r>
            <w:r>
              <w:rPr>
                <w:rFonts w:ascii="Calibri" w:hAnsi="Calibri"/>
                <w:spacing w:val="-4"/>
                <w:sz w:val="22"/>
              </w:rPr>
              <w:t> </w:t>
            </w:r>
            <w:r>
              <w:rPr>
                <w:rFonts w:ascii="Calibri" w:hAnsi="Calibri"/>
                <w:sz w:val="22"/>
              </w:rPr>
              <w:t>anuales</w:t>
            </w:r>
            <w:r>
              <w:rPr>
                <w:rFonts w:ascii="Calibri" w:hAnsi="Calibri"/>
                <w:spacing w:val="-2"/>
                <w:sz w:val="22"/>
              </w:rPr>
              <w:t> </w:t>
            </w:r>
            <w:r>
              <w:rPr>
                <w:rFonts w:ascii="Calibri" w:hAnsi="Calibri"/>
                <w:sz w:val="22"/>
              </w:rPr>
              <w:t>se</w:t>
            </w:r>
            <w:r>
              <w:rPr>
                <w:rFonts w:ascii="Calibri" w:hAnsi="Calibri"/>
                <w:spacing w:val="-2"/>
                <w:sz w:val="22"/>
              </w:rPr>
              <w:t> </w:t>
            </w:r>
            <w:r>
              <w:rPr>
                <w:rFonts w:ascii="Calibri" w:hAnsi="Calibri"/>
                <w:sz w:val="22"/>
              </w:rPr>
              <w:t>han</w:t>
            </w:r>
            <w:r>
              <w:rPr>
                <w:rFonts w:ascii="Calibri" w:hAnsi="Calibri"/>
                <w:spacing w:val="-3"/>
                <w:sz w:val="22"/>
              </w:rPr>
              <w:t> </w:t>
            </w:r>
            <w:r>
              <w:rPr>
                <w:rFonts w:ascii="Calibri" w:hAnsi="Calibri"/>
                <w:spacing w:val="-2"/>
                <w:sz w:val="22"/>
              </w:rPr>
              <w:t>mantenido</w:t>
            </w:r>
          </w:p>
          <w:p>
            <w:pPr>
              <w:pStyle w:val="TableParagraph"/>
              <w:spacing w:line="247" w:lineRule="exact" w:before="2"/>
              <w:ind w:left="827"/>
              <w:rPr>
                <w:rFonts w:ascii="Calibri"/>
                <w:sz w:val="22"/>
              </w:rPr>
            </w:pPr>
            <w:r>
              <w:rPr>
                <w:rFonts w:ascii="Calibri"/>
                <w:sz w:val="22"/>
              </w:rPr>
              <w:t>estables</w:t>
            </w:r>
            <w:r>
              <w:rPr>
                <w:rFonts w:ascii="Calibri"/>
                <w:spacing w:val="-3"/>
                <w:sz w:val="22"/>
              </w:rPr>
              <w:t> </w:t>
            </w:r>
            <w:r>
              <w:rPr>
                <w:rFonts w:ascii="Calibri"/>
                <w:sz w:val="22"/>
              </w:rPr>
              <w:t>a</w:t>
            </w:r>
            <w:r>
              <w:rPr>
                <w:rFonts w:ascii="Calibri"/>
                <w:spacing w:val="-3"/>
                <w:sz w:val="22"/>
              </w:rPr>
              <w:t> </w:t>
            </w:r>
            <w:r>
              <w:rPr>
                <w:rFonts w:ascii="Calibri"/>
                <w:sz w:val="22"/>
              </w:rPr>
              <w:t>pesar</w:t>
            </w:r>
            <w:r>
              <w:rPr>
                <w:rFonts w:ascii="Calibri"/>
                <w:spacing w:val="-1"/>
                <w:sz w:val="22"/>
              </w:rPr>
              <w:t> </w:t>
            </w:r>
            <w:r>
              <w:rPr>
                <w:rFonts w:ascii="Calibri"/>
                <w:sz w:val="22"/>
              </w:rPr>
              <w:t>del</w:t>
            </w:r>
            <w:r>
              <w:rPr>
                <w:rFonts w:ascii="Calibri"/>
                <w:spacing w:val="-1"/>
                <w:sz w:val="22"/>
              </w:rPr>
              <w:t> </w:t>
            </w:r>
            <w:r>
              <w:rPr>
                <w:rFonts w:ascii="Calibri"/>
                <w:sz w:val="22"/>
              </w:rPr>
              <w:t>pago</w:t>
            </w:r>
            <w:r>
              <w:rPr>
                <w:rFonts w:ascii="Calibri"/>
                <w:spacing w:val="-1"/>
                <w:sz w:val="22"/>
              </w:rPr>
              <w:t> </w:t>
            </w:r>
            <w:r>
              <w:rPr>
                <w:rFonts w:ascii="Calibri"/>
                <w:sz w:val="22"/>
              </w:rPr>
              <w:t>del</w:t>
            </w:r>
            <w:r>
              <w:rPr>
                <w:rFonts w:ascii="Calibri"/>
                <w:spacing w:val="-1"/>
                <w:sz w:val="22"/>
              </w:rPr>
              <w:t> </w:t>
            </w:r>
            <w:r>
              <w:rPr>
                <w:rFonts w:ascii="Calibri"/>
                <w:spacing w:val="-4"/>
                <w:sz w:val="22"/>
              </w:rPr>
              <w:t>IGV?</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267" w:hRule="atLeast"/>
        </w:trPr>
        <w:tc>
          <w:tcPr>
            <w:tcW w:w="5665" w:type="dxa"/>
            <w:shd w:val="clear" w:color="auto" w:fill="ADAAAA"/>
          </w:tcPr>
          <w:p>
            <w:pPr>
              <w:pStyle w:val="TableParagraph"/>
              <w:spacing w:line="247" w:lineRule="exact"/>
              <w:ind w:left="106"/>
              <w:rPr>
                <w:rFonts w:ascii="Calibri" w:hAnsi="Calibri"/>
                <w:b/>
                <w:sz w:val="22"/>
              </w:rPr>
            </w:pPr>
            <w:r>
              <w:rPr>
                <w:rFonts w:ascii="Calibri" w:hAnsi="Calibri"/>
                <w:b/>
                <w:sz w:val="22"/>
              </w:rPr>
              <w:t>Liquidez</w:t>
            </w:r>
            <w:r>
              <w:rPr>
                <w:rFonts w:ascii="Calibri" w:hAnsi="Calibri"/>
                <w:b/>
                <w:spacing w:val="-7"/>
                <w:sz w:val="22"/>
              </w:rPr>
              <w:t> </w:t>
            </w:r>
            <w:r>
              <w:rPr>
                <w:rFonts w:ascii="Calibri" w:hAnsi="Calibri"/>
                <w:b/>
                <w:spacing w:val="-2"/>
                <w:sz w:val="22"/>
              </w:rPr>
              <w:t>económica</w:t>
            </w:r>
          </w:p>
        </w:tc>
        <w:tc>
          <w:tcPr>
            <w:tcW w:w="568" w:type="dxa"/>
            <w:shd w:val="clear" w:color="auto" w:fill="ADAAAA"/>
          </w:tcPr>
          <w:p>
            <w:pPr>
              <w:pStyle w:val="TableParagraph"/>
              <w:rPr>
                <w:rFonts w:ascii="Times New Roman"/>
                <w:sz w:val="18"/>
              </w:rPr>
            </w:pPr>
          </w:p>
        </w:tc>
        <w:tc>
          <w:tcPr>
            <w:tcW w:w="567" w:type="dxa"/>
            <w:shd w:val="clear" w:color="auto" w:fill="ADAAAA"/>
          </w:tcPr>
          <w:p>
            <w:pPr>
              <w:pStyle w:val="TableParagraph"/>
              <w:rPr>
                <w:rFonts w:ascii="Times New Roman"/>
                <w:sz w:val="18"/>
              </w:rPr>
            </w:pPr>
          </w:p>
        </w:tc>
        <w:tc>
          <w:tcPr>
            <w:tcW w:w="614" w:type="dxa"/>
            <w:shd w:val="clear" w:color="auto" w:fill="ADAAAA"/>
          </w:tcPr>
          <w:p>
            <w:pPr>
              <w:pStyle w:val="TableParagraph"/>
              <w:rPr>
                <w:rFonts w:ascii="Times New Roman"/>
                <w:sz w:val="18"/>
              </w:rPr>
            </w:pPr>
          </w:p>
        </w:tc>
        <w:tc>
          <w:tcPr>
            <w:tcW w:w="540" w:type="dxa"/>
            <w:shd w:val="clear" w:color="auto" w:fill="ADAAAA"/>
          </w:tcPr>
          <w:p>
            <w:pPr>
              <w:pStyle w:val="TableParagraph"/>
              <w:rPr>
                <w:rFonts w:ascii="Times New Roman"/>
                <w:sz w:val="18"/>
              </w:rPr>
            </w:pPr>
          </w:p>
        </w:tc>
        <w:tc>
          <w:tcPr>
            <w:tcW w:w="542" w:type="dxa"/>
            <w:shd w:val="clear" w:color="auto" w:fill="ADAAAA"/>
          </w:tcPr>
          <w:p>
            <w:pPr>
              <w:pStyle w:val="TableParagraph"/>
              <w:rPr>
                <w:rFonts w:ascii="Times New Roman"/>
                <w:sz w:val="18"/>
              </w:rPr>
            </w:pPr>
          </w:p>
        </w:tc>
      </w:tr>
      <w:tr>
        <w:trPr>
          <w:trHeight w:val="538" w:hRule="atLeast"/>
        </w:trPr>
        <w:tc>
          <w:tcPr>
            <w:tcW w:w="5665" w:type="dxa"/>
          </w:tcPr>
          <w:p>
            <w:pPr>
              <w:pStyle w:val="TableParagraph"/>
              <w:tabs>
                <w:tab w:pos="827" w:val="left" w:leader="none"/>
              </w:tabs>
              <w:spacing w:line="268" w:lineRule="exact"/>
              <w:ind w:left="467"/>
              <w:rPr>
                <w:rFonts w:ascii="Calibri" w:hAnsi="Calibri"/>
                <w:sz w:val="22"/>
              </w:rPr>
            </w:pPr>
            <w:r>
              <w:rPr>
                <w:rFonts w:ascii="Calibri" w:hAnsi="Calibri"/>
                <w:spacing w:val="-5"/>
                <w:sz w:val="18"/>
              </w:rPr>
              <w:t>4.</w:t>
            </w:r>
            <w:r>
              <w:rPr>
                <w:rFonts w:ascii="Calibri" w:hAnsi="Calibri"/>
                <w:sz w:val="18"/>
              </w:rPr>
              <w:tab/>
            </w:r>
            <w:r>
              <w:rPr>
                <w:rFonts w:ascii="Calibri" w:hAnsi="Calibri"/>
                <w:sz w:val="22"/>
              </w:rPr>
              <w:t>¿Cuenta</w:t>
            </w:r>
            <w:r>
              <w:rPr>
                <w:rFonts w:ascii="Calibri" w:hAnsi="Calibri"/>
                <w:spacing w:val="-6"/>
                <w:sz w:val="22"/>
              </w:rPr>
              <w:t> </w:t>
            </w:r>
            <w:r>
              <w:rPr>
                <w:rFonts w:ascii="Calibri" w:hAnsi="Calibri"/>
                <w:sz w:val="22"/>
              </w:rPr>
              <w:t>con</w:t>
            </w:r>
            <w:r>
              <w:rPr>
                <w:rFonts w:ascii="Calibri" w:hAnsi="Calibri"/>
                <w:spacing w:val="-4"/>
                <w:sz w:val="22"/>
              </w:rPr>
              <w:t> </w:t>
            </w:r>
            <w:r>
              <w:rPr>
                <w:rFonts w:ascii="Calibri" w:hAnsi="Calibri"/>
                <w:sz w:val="22"/>
              </w:rPr>
              <w:t>la</w:t>
            </w:r>
            <w:r>
              <w:rPr>
                <w:rFonts w:ascii="Calibri" w:hAnsi="Calibri"/>
                <w:spacing w:val="-3"/>
                <w:sz w:val="22"/>
              </w:rPr>
              <w:t> </w:t>
            </w:r>
            <w:r>
              <w:rPr>
                <w:rFonts w:ascii="Calibri" w:hAnsi="Calibri"/>
                <w:sz w:val="22"/>
              </w:rPr>
              <w:t>disponibilidad</w:t>
            </w:r>
            <w:r>
              <w:rPr>
                <w:rFonts w:ascii="Calibri" w:hAnsi="Calibri"/>
                <w:spacing w:val="-4"/>
                <w:sz w:val="22"/>
              </w:rPr>
              <w:t> </w:t>
            </w:r>
            <w:r>
              <w:rPr>
                <w:rFonts w:ascii="Calibri" w:hAnsi="Calibri"/>
                <w:sz w:val="22"/>
              </w:rPr>
              <w:t>de</w:t>
            </w:r>
            <w:r>
              <w:rPr>
                <w:rFonts w:ascii="Calibri" w:hAnsi="Calibri"/>
                <w:spacing w:val="-4"/>
                <w:sz w:val="22"/>
              </w:rPr>
              <w:t> </w:t>
            </w:r>
            <w:r>
              <w:rPr>
                <w:rFonts w:ascii="Calibri" w:hAnsi="Calibri"/>
                <w:sz w:val="22"/>
              </w:rPr>
              <w:t>recursos</w:t>
            </w:r>
            <w:r>
              <w:rPr>
                <w:rFonts w:ascii="Calibri" w:hAnsi="Calibri"/>
                <w:spacing w:val="-4"/>
                <w:sz w:val="22"/>
              </w:rPr>
              <w:t> </w:t>
            </w:r>
            <w:r>
              <w:rPr>
                <w:rFonts w:ascii="Calibri" w:hAnsi="Calibri"/>
                <w:spacing w:val="-2"/>
                <w:sz w:val="22"/>
              </w:rPr>
              <w:t>necesarios</w:t>
            </w:r>
          </w:p>
          <w:p>
            <w:pPr>
              <w:pStyle w:val="TableParagraph"/>
              <w:spacing w:line="249" w:lineRule="exact"/>
              <w:ind w:left="827"/>
              <w:rPr>
                <w:rFonts w:ascii="Calibri"/>
                <w:sz w:val="22"/>
              </w:rPr>
            </w:pPr>
            <w:r>
              <w:rPr>
                <w:rFonts w:ascii="Calibri"/>
                <w:sz w:val="22"/>
              </w:rPr>
              <w:t>para</w:t>
            </w:r>
            <w:r>
              <w:rPr>
                <w:rFonts w:ascii="Calibri"/>
                <w:spacing w:val="-2"/>
                <w:sz w:val="22"/>
              </w:rPr>
              <w:t> </w:t>
            </w:r>
            <w:r>
              <w:rPr>
                <w:rFonts w:ascii="Calibri"/>
                <w:sz w:val="22"/>
              </w:rPr>
              <w:t>cumplir</w:t>
            </w:r>
            <w:r>
              <w:rPr>
                <w:rFonts w:ascii="Calibri"/>
                <w:spacing w:val="-2"/>
                <w:sz w:val="22"/>
              </w:rPr>
              <w:t> </w:t>
            </w:r>
            <w:r>
              <w:rPr>
                <w:rFonts w:ascii="Calibri"/>
                <w:sz w:val="22"/>
              </w:rPr>
              <w:t>con</w:t>
            </w:r>
            <w:r>
              <w:rPr>
                <w:rFonts w:ascii="Calibri"/>
                <w:spacing w:val="-1"/>
                <w:sz w:val="22"/>
              </w:rPr>
              <w:t> </w:t>
            </w:r>
            <w:r>
              <w:rPr>
                <w:rFonts w:ascii="Calibri"/>
                <w:sz w:val="22"/>
              </w:rPr>
              <w:t>el</w:t>
            </w:r>
            <w:r>
              <w:rPr>
                <w:rFonts w:ascii="Calibri"/>
                <w:spacing w:val="-1"/>
                <w:sz w:val="22"/>
              </w:rPr>
              <w:t> </w:t>
            </w:r>
            <w:r>
              <w:rPr>
                <w:rFonts w:ascii="Calibri"/>
                <w:sz w:val="22"/>
              </w:rPr>
              <w:t>pago</w:t>
            </w:r>
            <w:r>
              <w:rPr>
                <w:rFonts w:ascii="Calibri"/>
                <w:spacing w:val="-1"/>
                <w:sz w:val="22"/>
              </w:rPr>
              <w:t> </w:t>
            </w:r>
            <w:r>
              <w:rPr>
                <w:rFonts w:ascii="Calibri"/>
                <w:sz w:val="22"/>
              </w:rPr>
              <w:t>del</w:t>
            </w:r>
            <w:r>
              <w:rPr>
                <w:rFonts w:ascii="Calibri"/>
                <w:spacing w:val="-1"/>
                <w:sz w:val="22"/>
              </w:rPr>
              <w:t> </w:t>
            </w:r>
            <w:r>
              <w:rPr>
                <w:rFonts w:ascii="Calibri"/>
                <w:sz w:val="22"/>
              </w:rPr>
              <w:t>IGV</w:t>
            </w:r>
            <w:r>
              <w:rPr>
                <w:rFonts w:ascii="Calibri"/>
                <w:spacing w:val="-3"/>
                <w:sz w:val="22"/>
              </w:rPr>
              <w:t> </w:t>
            </w:r>
            <w:r>
              <w:rPr>
                <w:rFonts w:ascii="Calibri"/>
                <w:spacing w:val="-2"/>
                <w:sz w:val="22"/>
              </w:rPr>
              <w:t>puntualmente?</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535" w:hRule="atLeast"/>
        </w:trPr>
        <w:tc>
          <w:tcPr>
            <w:tcW w:w="5665" w:type="dxa"/>
          </w:tcPr>
          <w:p>
            <w:pPr>
              <w:pStyle w:val="TableParagraph"/>
              <w:tabs>
                <w:tab w:pos="827" w:val="left" w:leader="none"/>
              </w:tabs>
              <w:spacing w:line="268" w:lineRule="exact"/>
              <w:ind w:left="467"/>
              <w:rPr>
                <w:rFonts w:ascii="Calibri" w:hAnsi="Calibri"/>
                <w:sz w:val="22"/>
              </w:rPr>
            </w:pPr>
            <w:r>
              <w:rPr>
                <w:rFonts w:ascii="Calibri" w:hAnsi="Calibri"/>
                <w:spacing w:val="-5"/>
                <w:sz w:val="18"/>
              </w:rPr>
              <w:t>5.</w:t>
            </w:r>
            <w:r>
              <w:rPr>
                <w:rFonts w:ascii="Calibri" w:hAnsi="Calibri"/>
                <w:sz w:val="18"/>
              </w:rPr>
              <w:tab/>
            </w:r>
            <w:r>
              <w:rPr>
                <w:rFonts w:ascii="Calibri" w:hAnsi="Calibri"/>
                <w:sz w:val="22"/>
              </w:rPr>
              <w:t>¿Ha</w:t>
            </w:r>
            <w:r>
              <w:rPr>
                <w:rFonts w:ascii="Calibri" w:hAnsi="Calibri"/>
                <w:spacing w:val="-6"/>
                <w:sz w:val="22"/>
              </w:rPr>
              <w:t> </w:t>
            </w:r>
            <w:r>
              <w:rPr>
                <w:rFonts w:ascii="Calibri" w:hAnsi="Calibri"/>
                <w:sz w:val="22"/>
              </w:rPr>
              <w:t>tenido</w:t>
            </w:r>
            <w:r>
              <w:rPr>
                <w:rFonts w:ascii="Calibri" w:hAnsi="Calibri"/>
                <w:spacing w:val="-3"/>
                <w:sz w:val="22"/>
              </w:rPr>
              <w:t> </w:t>
            </w:r>
            <w:r>
              <w:rPr>
                <w:rFonts w:ascii="Calibri" w:hAnsi="Calibri"/>
                <w:sz w:val="22"/>
              </w:rPr>
              <w:t>dificultades</w:t>
            </w:r>
            <w:r>
              <w:rPr>
                <w:rFonts w:ascii="Calibri" w:hAnsi="Calibri"/>
                <w:spacing w:val="-5"/>
                <w:sz w:val="22"/>
              </w:rPr>
              <w:t> </w:t>
            </w:r>
            <w:r>
              <w:rPr>
                <w:rFonts w:ascii="Calibri" w:hAnsi="Calibri"/>
                <w:sz w:val="22"/>
              </w:rPr>
              <w:t>para</w:t>
            </w:r>
            <w:r>
              <w:rPr>
                <w:rFonts w:ascii="Calibri" w:hAnsi="Calibri"/>
                <w:spacing w:val="-3"/>
                <w:sz w:val="22"/>
              </w:rPr>
              <w:t> </w:t>
            </w:r>
            <w:r>
              <w:rPr>
                <w:rFonts w:ascii="Calibri" w:hAnsi="Calibri"/>
                <w:sz w:val="22"/>
              </w:rPr>
              <w:t>cubrir</w:t>
            </w:r>
            <w:r>
              <w:rPr>
                <w:rFonts w:ascii="Calibri" w:hAnsi="Calibri"/>
                <w:spacing w:val="-4"/>
                <w:sz w:val="22"/>
              </w:rPr>
              <w:t> </w:t>
            </w:r>
            <w:r>
              <w:rPr>
                <w:rFonts w:ascii="Calibri" w:hAnsi="Calibri"/>
                <w:sz w:val="22"/>
              </w:rPr>
              <w:t>sus</w:t>
            </w:r>
            <w:r>
              <w:rPr>
                <w:rFonts w:ascii="Calibri" w:hAnsi="Calibri"/>
                <w:spacing w:val="-4"/>
                <w:sz w:val="22"/>
              </w:rPr>
              <w:t> </w:t>
            </w:r>
            <w:r>
              <w:rPr>
                <w:rFonts w:ascii="Calibri" w:hAnsi="Calibri"/>
                <w:spacing w:val="-2"/>
                <w:sz w:val="22"/>
              </w:rPr>
              <w:t>obligaciones</w:t>
            </w:r>
          </w:p>
          <w:p>
            <w:pPr>
              <w:pStyle w:val="TableParagraph"/>
              <w:spacing w:line="247" w:lineRule="exact"/>
              <w:ind w:left="827"/>
              <w:rPr>
                <w:rFonts w:ascii="Calibri"/>
                <w:sz w:val="22"/>
              </w:rPr>
            </w:pPr>
            <w:r>
              <w:rPr>
                <w:rFonts w:ascii="Calibri"/>
                <w:sz w:val="22"/>
              </w:rPr>
              <w:t>mensuales</w:t>
            </w:r>
            <w:r>
              <w:rPr>
                <w:rFonts w:ascii="Calibri"/>
                <w:spacing w:val="-3"/>
                <w:sz w:val="22"/>
              </w:rPr>
              <w:t> </w:t>
            </w:r>
            <w:r>
              <w:rPr>
                <w:rFonts w:ascii="Calibri"/>
                <w:sz w:val="22"/>
              </w:rPr>
              <w:t>tras</w:t>
            </w:r>
            <w:r>
              <w:rPr>
                <w:rFonts w:ascii="Calibri"/>
                <w:spacing w:val="-3"/>
                <w:sz w:val="22"/>
              </w:rPr>
              <w:t> </w:t>
            </w:r>
            <w:r>
              <w:rPr>
                <w:rFonts w:ascii="Calibri"/>
                <w:sz w:val="22"/>
              </w:rPr>
              <w:t>realizar</w:t>
            </w:r>
            <w:r>
              <w:rPr>
                <w:rFonts w:ascii="Calibri"/>
                <w:spacing w:val="-2"/>
                <w:sz w:val="22"/>
              </w:rPr>
              <w:t> </w:t>
            </w:r>
            <w:r>
              <w:rPr>
                <w:rFonts w:ascii="Calibri"/>
                <w:sz w:val="22"/>
              </w:rPr>
              <w:t>el</w:t>
            </w:r>
            <w:r>
              <w:rPr>
                <w:rFonts w:ascii="Calibri"/>
                <w:spacing w:val="-2"/>
                <w:sz w:val="22"/>
              </w:rPr>
              <w:t> </w:t>
            </w:r>
            <w:r>
              <w:rPr>
                <w:rFonts w:ascii="Calibri"/>
                <w:sz w:val="22"/>
              </w:rPr>
              <w:t>pago</w:t>
            </w:r>
            <w:r>
              <w:rPr>
                <w:rFonts w:ascii="Calibri"/>
                <w:spacing w:val="-3"/>
                <w:sz w:val="22"/>
              </w:rPr>
              <w:t> </w:t>
            </w:r>
            <w:r>
              <w:rPr>
                <w:rFonts w:ascii="Calibri"/>
                <w:sz w:val="22"/>
              </w:rPr>
              <w:t>del</w:t>
            </w:r>
            <w:r>
              <w:rPr>
                <w:rFonts w:ascii="Calibri"/>
                <w:spacing w:val="-1"/>
                <w:sz w:val="22"/>
              </w:rPr>
              <w:t> </w:t>
            </w:r>
            <w:r>
              <w:rPr>
                <w:rFonts w:ascii="Calibri"/>
                <w:spacing w:val="-4"/>
                <w:sz w:val="22"/>
              </w:rPr>
              <w:t>IGV?</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538" w:hRule="atLeast"/>
        </w:trPr>
        <w:tc>
          <w:tcPr>
            <w:tcW w:w="5665" w:type="dxa"/>
          </w:tcPr>
          <w:p>
            <w:pPr>
              <w:pStyle w:val="TableParagraph"/>
              <w:tabs>
                <w:tab w:pos="827" w:val="left" w:leader="none"/>
              </w:tabs>
              <w:spacing w:line="270" w:lineRule="atLeast"/>
              <w:ind w:left="827" w:right="458" w:hanging="360"/>
              <w:rPr>
                <w:rFonts w:ascii="Calibri" w:hAnsi="Calibri"/>
                <w:sz w:val="22"/>
              </w:rPr>
            </w:pPr>
            <w:r>
              <w:rPr>
                <w:rFonts w:ascii="Calibri" w:hAnsi="Calibri"/>
                <w:spacing w:val="-6"/>
                <w:sz w:val="18"/>
              </w:rPr>
              <w:t>6.</w:t>
            </w:r>
            <w:r>
              <w:rPr>
                <w:rFonts w:ascii="Calibri" w:hAnsi="Calibri"/>
                <w:sz w:val="18"/>
              </w:rPr>
              <w:tab/>
            </w:r>
            <w:r>
              <w:rPr>
                <w:rFonts w:ascii="Calibri" w:hAnsi="Calibri"/>
                <w:sz w:val="22"/>
              </w:rPr>
              <w:t>¿Le</w:t>
            </w:r>
            <w:r>
              <w:rPr>
                <w:rFonts w:ascii="Calibri" w:hAnsi="Calibri"/>
                <w:spacing w:val="-4"/>
                <w:sz w:val="22"/>
              </w:rPr>
              <w:t> </w:t>
            </w:r>
            <w:r>
              <w:rPr>
                <w:rFonts w:ascii="Calibri" w:hAnsi="Calibri"/>
                <w:sz w:val="22"/>
              </w:rPr>
              <w:t>ha</w:t>
            </w:r>
            <w:r>
              <w:rPr>
                <w:rFonts w:ascii="Calibri" w:hAnsi="Calibri"/>
                <w:spacing w:val="-4"/>
                <w:sz w:val="22"/>
              </w:rPr>
              <w:t> </w:t>
            </w:r>
            <w:r>
              <w:rPr>
                <w:rFonts w:ascii="Calibri" w:hAnsi="Calibri"/>
                <w:sz w:val="22"/>
              </w:rPr>
              <w:t>sido</w:t>
            </w:r>
            <w:r>
              <w:rPr>
                <w:rFonts w:ascii="Calibri" w:hAnsi="Calibri"/>
                <w:spacing w:val="-5"/>
                <w:sz w:val="22"/>
              </w:rPr>
              <w:t> </w:t>
            </w:r>
            <w:r>
              <w:rPr>
                <w:rFonts w:ascii="Calibri" w:hAnsi="Calibri"/>
                <w:sz w:val="22"/>
              </w:rPr>
              <w:t>más</w:t>
            </w:r>
            <w:r>
              <w:rPr>
                <w:rFonts w:ascii="Calibri" w:hAnsi="Calibri"/>
                <w:spacing w:val="-6"/>
                <w:sz w:val="22"/>
              </w:rPr>
              <w:t> </w:t>
            </w:r>
            <w:r>
              <w:rPr>
                <w:rFonts w:ascii="Calibri" w:hAnsi="Calibri"/>
                <w:sz w:val="22"/>
              </w:rPr>
              <w:t>difícil</w:t>
            </w:r>
            <w:r>
              <w:rPr>
                <w:rFonts w:ascii="Calibri" w:hAnsi="Calibri"/>
                <w:spacing w:val="-7"/>
                <w:sz w:val="22"/>
              </w:rPr>
              <w:t> </w:t>
            </w:r>
            <w:r>
              <w:rPr>
                <w:rFonts w:ascii="Calibri" w:hAnsi="Calibri"/>
                <w:sz w:val="22"/>
              </w:rPr>
              <w:t>acceder</w:t>
            </w:r>
            <w:r>
              <w:rPr>
                <w:rFonts w:ascii="Calibri" w:hAnsi="Calibri"/>
                <w:spacing w:val="-4"/>
                <w:sz w:val="22"/>
              </w:rPr>
              <w:t> </w:t>
            </w:r>
            <w:r>
              <w:rPr>
                <w:rFonts w:ascii="Calibri" w:hAnsi="Calibri"/>
                <w:sz w:val="22"/>
              </w:rPr>
              <w:t>a</w:t>
            </w:r>
            <w:r>
              <w:rPr>
                <w:rFonts w:ascii="Calibri" w:hAnsi="Calibri"/>
                <w:spacing w:val="-4"/>
                <w:sz w:val="22"/>
              </w:rPr>
              <w:t> </w:t>
            </w:r>
            <w:r>
              <w:rPr>
                <w:rFonts w:ascii="Calibri" w:hAnsi="Calibri"/>
                <w:sz w:val="22"/>
              </w:rPr>
              <w:t>líneas</w:t>
            </w:r>
            <w:r>
              <w:rPr>
                <w:rFonts w:ascii="Calibri" w:hAnsi="Calibri"/>
                <w:spacing w:val="-4"/>
                <w:sz w:val="22"/>
              </w:rPr>
              <w:t> </w:t>
            </w:r>
            <w:r>
              <w:rPr>
                <w:rFonts w:ascii="Calibri" w:hAnsi="Calibri"/>
                <w:sz w:val="22"/>
              </w:rPr>
              <w:t>de</w:t>
            </w:r>
            <w:r>
              <w:rPr>
                <w:rFonts w:ascii="Calibri" w:hAnsi="Calibri"/>
                <w:spacing w:val="-6"/>
                <w:sz w:val="22"/>
              </w:rPr>
              <w:t> </w:t>
            </w:r>
            <w:r>
              <w:rPr>
                <w:rFonts w:ascii="Calibri" w:hAnsi="Calibri"/>
                <w:sz w:val="22"/>
              </w:rPr>
              <w:t>crédito después de cumplir con el IGV?</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266" w:hRule="atLeast"/>
        </w:trPr>
        <w:tc>
          <w:tcPr>
            <w:tcW w:w="5665" w:type="dxa"/>
            <w:shd w:val="clear" w:color="auto" w:fill="ADAAAA"/>
          </w:tcPr>
          <w:p>
            <w:pPr>
              <w:pStyle w:val="TableParagraph"/>
              <w:spacing w:line="246" w:lineRule="exact"/>
              <w:ind w:left="106"/>
              <w:rPr>
                <w:rFonts w:ascii="Calibri" w:hAnsi="Calibri"/>
                <w:b/>
                <w:sz w:val="22"/>
              </w:rPr>
            </w:pPr>
            <w:r>
              <w:rPr>
                <w:rFonts w:ascii="Calibri" w:hAnsi="Calibri"/>
                <w:b/>
                <w:sz w:val="22"/>
              </w:rPr>
              <w:t>Seguridad</w:t>
            </w:r>
            <w:r>
              <w:rPr>
                <w:rFonts w:ascii="Calibri" w:hAnsi="Calibri"/>
                <w:b/>
                <w:spacing w:val="-6"/>
                <w:sz w:val="22"/>
              </w:rPr>
              <w:t> </w:t>
            </w:r>
            <w:r>
              <w:rPr>
                <w:rFonts w:ascii="Calibri" w:hAnsi="Calibri"/>
                <w:b/>
                <w:spacing w:val="-2"/>
                <w:sz w:val="22"/>
              </w:rPr>
              <w:t>económica</w:t>
            </w:r>
          </w:p>
        </w:tc>
        <w:tc>
          <w:tcPr>
            <w:tcW w:w="568" w:type="dxa"/>
            <w:shd w:val="clear" w:color="auto" w:fill="ADAAAA"/>
          </w:tcPr>
          <w:p>
            <w:pPr>
              <w:pStyle w:val="TableParagraph"/>
              <w:rPr>
                <w:rFonts w:ascii="Times New Roman"/>
                <w:sz w:val="18"/>
              </w:rPr>
            </w:pPr>
          </w:p>
        </w:tc>
        <w:tc>
          <w:tcPr>
            <w:tcW w:w="567" w:type="dxa"/>
            <w:shd w:val="clear" w:color="auto" w:fill="ADAAAA"/>
          </w:tcPr>
          <w:p>
            <w:pPr>
              <w:pStyle w:val="TableParagraph"/>
              <w:rPr>
                <w:rFonts w:ascii="Times New Roman"/>
                <w:sz w:val="18"/>
              </w:rPr>
            </w:pPr>
          </w:p>
        </w:tc>
        <w:tc>
          <w:tcPr>
            <w:tcW w:w="614" w:type="dxa"/>
            <w:shd w:val="clear" w:color="auto" w:fill="ADAAAA"/>
          </w:tcPr>
          <w:p>
            <w:pPr>
              <w:pStyle w:val="TableParagraph"/>
              <w:rPr>
                <w:rFonts w:ascii="Times New Roman"/>
                <w:sz w:val="18"/>
              </w:rPr>
            </w:pPr>
          </w:p>
        </w:tc>
        <w:tc>
          <w:tcPr>
            <w:tcW w:w="540" w:type="dxa"/>
            <w:shd w:val="clear" w:color="auto" w:fill="ADAAAA"/>
          </w:tcPr>
          <w:p>
            <w:pPr>
              <w:pStyle w:val="TableParagraph"/>
              <w:rPr>
                <w:rFonts w:ascii="Times New Roman"/>
                <w:sz w:val="18"/>
              </w:rPr>
            </w:pPr>
          </w:p>
        </w:tc>
        <w:tc>
          <w:tcPr>
            <w:tcW w:w="542" w:type="dxa"/>
            <w:shd w:val="clear" w:color="auto" w:fill="ADAAAA"/>
          </w:tcPr>
          <w:p>
            <w:pPr>
              <w:pStyle w:val="TableParagraph"/>
              <w:rPr>
                <w:rFonts w:ascii="Times New Roman"/>
                <w:sz w:val="18"/>
              </w:rPr>
            </w:pPr>
          </w:p>
        </w:tc>
      </w:tr>
      <w:tr>
        <w:trPr>
          <w:trHeight w:val="538" w:hRule="atLeast"/>
        </w:trPr>
        <w:tc>
          <w:tcPr>
            <w:tcW w:w="5665" w:type="dxa"/>
          </w:tcPr>
          <w:p>
            <w:pPr>
              <w:pStyle w:val="TableParagraph"/>
              <w:tabs>
                <w:tab w:pos="827" w:val="left" w:leader="none"/>
              </w:tabs>
              <w:spacing w:line="268" w:lineRule="exact"/>
              <w:ind w:left="467"/>
              <w:rPr>
                <w:rFonts w:ascii="Calibri" w:hAnsi="Calibri"/>
                <w:sz w:val="22"/>
              </w:rPr>
            </w:pPr>
            <w:r>
              <w:rPr>
                <w:rFonts w:ascii="Calibri" w:hAnsi="Calibri"/>
                <w:spacing w:val="-5"/>
                <w:sz w:val="18"/>
              </w:rPr>
              <w:t>7.</w:t>
            </w:r>
            <w:r>
              <w:rPr>
                <w:rFonts w:ascii="Calibri" w:hAnsi="Calibri"/>
                <w:sz w:val="18"/>
              </w:rPr>
              <w:tab/>
            </w:r>
            <w:r>
              <w:rPr>
                <w:rFonts w:ascii="Calibri" w:hAnsi="Calibri"/>
                <w:sz w:val="22"/>
              </w:rPr>
              <w:t>¿Siente</w:t>
            </w:r>
            <w:r>
              <w:rPr>
                <w:rFonts w:ascii="Calibri" w:hAnsi="Calibri"/>
                <w:spacing w:val="-4"/>
                <w:sz w:val="22"/>
              </w:rPr>
              <w:t> </w:t>
            </w:r>
            <w:r>
              <w:rPr>
                <w:rFonts w:ascii="Calibri" w:hAnsi="Calibri"/>
                <w:sz w:val="22"/>
              </w:rPr>
              <w:t>que</w:t>
            </w:r>
            <w:r>
              <w:rPr>
                <w:rFonts w:ascii="Calibri" w:hAnsi="Calibri"/>
                <w:spacing w:val="-3"/>
                <w:sz w:val="22"/>
              </w:rPr>
              <w:t> </w:t>
            </w:r>
            <w:r>
              <w:rPr>
                <w:rFonts w:ascii="Calibri" w:hAnsi="Calibri"/>
                <w:sz w:val="22"/>
              </w:rPr>
              <w:t>su</w:t>
            </w:r>
            <w:r>
              <w:rPr>
                <w:rFonts w:ascii="Calibri" w:hAnsi="Calibri"/>
                <w:spacing w:val="-3"/>
                <w:sz w:val="22"/>
              </w:rPr>
              <w:t> </w:t>
            </w:r>
            <w:r>
              <w:rPr>
                <w:rFonts w:ascii="Calibri" w:hAnsi="Calibri"/>
                <w:sz w:val="22"/>
              </w:rPr>
              <w:t>situación</w:t>
            </w:r>
            <w:r>
              <w:rPr>
                <w:rFonts w:ascii="Calibri" w:hAnsi="Calibri"/>
                <w:spacing w:val="-3"/>
                <w:sz w:val="22"/>
              </w:rPr>
              <w:t> </w:t>
            </w:r>
            <w:r>
              <w:rPr>
                <w:rFonts w:ascii="Calibri" w:hAnsi="Calibri"/>
                <w:sz w:val="22"/>
              </w:rPr>
              <w:t>financiera</w:t>
            </w:r>
            <w:r>
              <w:rPr>
                <w:rFonts w:ascii="Calibri" w:hAnsi="Calibri"/>
                <w:spacing w:val="-3"/>
                <w:sz w:val="22"/>
              </w:rPr>
              <w:t> </w:t>
            </w:r>
            <w:r>
              <w:rPr>
                <w:rFonts w:ascii="Calibri" w:hAnsi="Calibri"/>
                <w:sz w:val="22"/>
              </w:rPr>
              <w:t>es</w:t>
            </w:r>
            <w:r>
              <w:rPr>
                <w:rFonts w:ascii="Calibri" w:hAnsi="Calibri"/>
                <w:spacing w:val="-3"/>
                <w:sz w:val="22"/>
              </w:rPr>
              <w:t> </w:t>
            </w:r>
            <w:r>
              <w:rPr>
                <w:rFonts w:ascii="Calibri" w:hAnsi="Calibri"/>
                <w:sz w:val="22"/>
              </w:rPr>
              <w:t>segura</w:t>
            </w:r>
            <w:r>
              <w:rPr>
                <w:rFonts w:ascii="Calibri" w:hAnsi="Calibri"/>
                <w:spacing w:val="-5"/>
                <w:sz w:val="22"/>
              </w:rPr>
              <w:t> </w:t>
            </w:r>
            <w:r>
              <w:rPr>
                <w:rFonts w:ascii="Calibri" w:hAnsi="Calibri"/>
                <w:spacing w:val="-4"/>
                <w:sz w:val="22"/>
              </w:rPr>
              <w:t>tras</w:t>
            </w:r>
          </w:p>
          <w:p>
            <w:pPr>
              <w:pStyle w:val="TableParagraph"/>
              <w:spacing w:line="249" w:lineRule="exact"/>
              <w:ind w:left="827"/>
              <w:rPr>
                <w:rFonts w:ascii="Calibri"/>
                <w:sz w:val="22"/>
              </w:rPr>
            </w:pPr>
            <w:r>
              <w:rPr>
                <w:rFonts w:ascii="Calibri"/>
                <w:sz w:val="22"/>
              </w:rPr>
              <w:t>cumplir</w:t>
            </w:r>
            <w:r>
              <w:rPr>
                <w:rFonts w:ascii="Calibri"/>
                <w:spacing w:val="-4"/>
                <w:sz w:val="22"/>
              </w:rPr>
              <w:t> </w:t>
            </w:r>
            <w:r>
              <w:rPr>
                <w:rFonts w:ascii="Calibri"/>
                <w:sz w:val="22"/>
              </w:rPr>
              <w:t>con</w:t>
            </w:r>
            <w:r>
              <w:rPr>
                <w:rFonts w:ascii="Calibri"/>
                <w:spacing w:val="-2"/>
                <w:sz w:val="22"/>
              </w:rPr>
              <w:t> </w:t>
            </w:r>
            <w:r>
              <w:rPr>
                <w:rFonts w:ascii="Calibri"/>
                <w:sz w:val="22"/>
              </w:rPr>
              <w:t>las</w:t>
            </w:r>
            <w:r>
              <w:rPr>
                <w:rFonts w:ascii="Calibri"/>
                <w:spacing w:val="-4"/>
                <w:sz w:val="22"/>
              </w:rPr>
              <w:t> </w:t>
            </w:r>
            <w:r>
              <w:rPr>
                <w:rFonts w:ascii="Calibri"/>
                <w:sz w:val="22"/>
              </w:rPr>
              <w:t>obligaciones</w:t>
            </w:r>
            <w:r>
              <w:rPr>
                <w:rFonts w:ascii="Calibri"/>
                <w:spacing w:val="-2"/>
                <w:sz w:val="22"/>
              </w:rPr>
              <w:t> </w:t>
            </w:r>
            <w:r>
              <w:rPr>
                <w:rFonts w:ascii="Calibri"/>
                <w:sz w:val="22"/>
              </w:rPr>
              <w:t>del</w:t>
            </w:r>
            <w:r>
              <w:rPr>
                <w:rFonts w:ascii="Calibri"/>
                <w:spacing w:val="-2"/>
                <w:sz w:val="22"/>
              </w:rPr>
              <w:t> </w:t>
            </w:r>
            <w:r>
              <w:rPr>
                <w:rFonts w:ascii="Calibri"/>
                <w:spacing w:val="-4"/>
                <w:sz w:val="22"/>
              </w:rPr>
              <w:t>IGV?</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804" w:hRule="atLeast"/>
        </w:trPr>
        <w:tc>
          <w:tcPr>
            <w:tcW w:w="5665" w:type="dxa"/>
          </w:tcPr>
          <w:p>
            <w:pPr>
              <w:pStyle w:val="TableParagraph"/>
              <w:tabs>
                <w:tab w:pos="827" w:val="left" w:leader="none"/>
              </w:tabs>
              <w:ind w:left="827" w:right="140" w:hanging="360"/>
              <w:rPr>
                <w:rFonts w:ascii="Calibri" w:hAnsi="Calibri"/>
                <w:sz w:val="22"/>
              </w:rPr>
            </w:pPr>
            <w:r>
              <w:rPr>
                <w:rFonts w:ascii="Calibri" w:hAnsi="Calibri"/>
                <w:spacing w:val="-6"/>
                <w:sz w:val="18"/>
              </w:rPr>
              <w:t>8.</w:t>
            </w:r>
            <w:r>
              <w:rPr>
                <w:rFonts w:ascii="Calibri" w:hAnsi="Calibri"/>
                <w:sz w:val="18"/>
              </w:rPr>
              <w:tab/>
            </w:r>
            <w:r>
              <w:rPr>
                <w:rFonts w:ascii="Calibri" w:hAnsi="Calibri"/>
                <w:sz w:val="22"/>
              </w:rPr>
              <w:t>¿Considera</w:t>
            </w:r>
            <w:r>
              <w:rPr>
                <w:rFonts w:ascii="Calibri" w:hAnsi="Calibri"/>
                <w:spacing w:val="-6"/>
                <w:sz w:val="22"/>
              </w:rPr>
              <w:t> </w:t>
            </w:r>
            <w:r>
              <w:rPr>
                <w:rFonts w:ascii="Calibri" w:hAnsi="Calibri"/>
                <w:sz w:val="22"/>
              </w:rPr>
              <w:t>que</w:t>
            </w:r>
            <w:r>
              <w:rPr>
                <w:rFonts w:ascii="Calibri" w:hAnsi="Calibri"/>
                <w:spacing w:val="-6"/>
                <w:sz w:val="22"/>
              </w:rPr>
              <w:t> </w:t>
            </w:r>
            <w:r>
              <w:rPr>
                <w:rFonts w:ascii="Calibri" w:hAnsi="Calibri"/>
                <w:sz w:val="22"/>
              </w:rPr>
              <w:t>el</w:t>
            </w:r>
            <w:r>
              <w:rPr>
                <w:rFonts w:ascii="Calibri" w:hAnsi="Calibri"/>
                <w:spacing w:val="-6"/>
                <w:sz w:val="22"/>
              </w:rPr>
              <w:t> </w:t>
            </w:r>
            <w:r>
              <w:rPr>
                <w:rFonts w:ascii="Calibri" w:hAnsi="Calibri"/>
                <w:sz w:val="22"/>
              </w:rPr>
              <w:t>cumplimiento</w:t>
            </w:r>
            <w:r>
              <w:rPr>
                <w:rFonts w:ascii="Calibri" w:hAnsi="Calibri"/>
                <w:spacing w:val="-7"/>
                <w:sz w:val="22"/>
              </w:rPr>
              <w:t> </w:t>
            </w:r>
            <w:r>
              <w:rPr>
                <w:rFonts w:ascii="Calibri" w:hAnsi="Calibri"/>
                <w:sz w:val="22"/>
              </w:rPr>
              <w:t>del</w:t>
            </w:r>
            <w:r>
              <w:rPr>
                <w:rFonts w:ascii="Calibri" w:hAnsi="Calibri"/>
                <w:spacing w:val="-6"/>
                <w:sz w:val="22"/>
              </w:rPr>
              <w:t> </w:t>
            </w:r>
            <w:r>
              <w:rPr>
                <w:rFonts w:ascii="Calibri" w:hAnsi="Calibri"/>
                <w:sz w:val="22"/>
              </w:rPr>
              <w:t>IGV</w:t>
            </w:r>
            <w:r>
              <w:rPr>
                <w:rFonts w:ascii="Calibri" w:hAnsi="Calibri"/>
                <w:spacing w:val="-7"/>
                <w:sz w:val="22"/>
              </w:rPr>
              <w:t> </w:t>
            </w:r>
            <w:r>
              <w:rPr>
                <w:rFonts w:ascii="Calibri" w:hAnsi="Calibri"/>
                <w:sz w:val="22"/>
              </w:rPr>
              <w:t>ha</w:t>
            </w:r>
            <w:r>
              <w:rPr>
                <w:rFonts w:ascii="Calibri" w:hAnsi="Calibri"/>
                <w:spacing w:val="-6"/>
                <w:sz w:val="22"/>
              </w:rPr>
              <w:t> </w:t>
            </w:r>
            <w:r>
              <w:rPr>
                <w:rFonts w:ascii="Calibri" w:hAnsi="Calibri"/>
                <w:sz w:val="22"/>
              </w:rPr>
              <w:t>afectado la estabilidad de los contratos comerciales de su</w:t>
            </w:r>
          </w:p>
          <w:p>
            <w:pPr>
              <w:pStyle w:val="TableParagraph"/>
              <w:spacing w:line="247" w:lineRule="exact"/>
              <w:ind w:left="827"/>
              <w:rPr>
                <w:rFonts w:ascii="Calibri"/>
                <w:sz w:val="22"/>
              </w:rPr>
            </w:pPr>
            <w:r>
              <w:rPr>
                <w:rFonts w:ascii="Calibri"/>
                <w:spacing w:val="-2"/>
                <w:sz w:val="22"/>
              </w:rPr>
              <w:t>negocio?</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537" w:hRule="atLeast"/>
        </w:trPr>
        <w:tc>
          <w:tcPr>
            <w:tcW w:w="5665" w:type="dxa"/>
          </w:tcPr>
          <w:p>
            <w:pPr>
              <w:pStyle w:val="TableParagraph"/>
              <w:tabs>
                <w:tab w:pos="359" w:val="left" w:leader="none"/>
              </w:tabs>
              <w:ind w:right="297"/>
              <w:jc w:val="right"/>
              <w:rPr>
                <w:rFonts w:ascii="Calibri" w:hAnsi="Calibri"/>
                <w:sz w:val="22"/>
              </w:rPr>
            </w:pPr>
            <w:r>
              <w:rPr>
                <w:rFonts w:ascii="Calibri" w:hAnsi="Calibri"/>
                <w:spacing w:val="-5"/>
                <w:sz w:val="18"/>
              </w:rPr>
              <w:t>9.</w:t>
            </w:r>
            <w:r>
              <w:rPr>
                <w:rFonts w:ascii="Calibri" w:hAnsi="Calibri"/>
                <w:sz w:val="18"/>
              </w:rPr>
              <w:tab/>
            </w:r>
            <w:r>
              <w:rPr>
                <w:rFonts w:ascii="Calibri" w:hAnsi="Calibri"/>
                <w:sz w:val="22"/>
              </w:rPr>
              <w:t>¿Cree</w:t>
            </w:r>
            <w:r>
              <w:rPr>
                <w:rFonts w:ascii="Calibri" w:hAnsi="Calibri"/>
                <w:spacing w:val="-3"/>
                <w:sz w:val="22"/>
              </w:rPr>
              <w:t> </w:t>
            </w:r>
            <w:r>
              <w:rPr>
                <w:rFonts w:ascii="Calibri" w:hAnsi="Calibri"/>
                <w:sz w:val="22"/>
              </w:rPr>
              <w:t>que</w:t>
            </w:r>
            <w:r>
              <w:rPr>
                <w:rFonts w:ascii="Calibri" w:hAnsi="Calibri"/>
                <w:spacing w:val="-3"/>
                <w:sz w:val="22"/>
              </w:rPr>
              <w:t> </w:t>
            </w:r>
            <w:r>
              <w:rPr>
                <w:rFonts w:ascii="Calibri" w:hAnsi="Calibri"/>
                <w:sz w:val="22"/>
              </w:rPr>
              <w:t>el</w:t>
            </w:r>
            <w:r>
              <w:rPr>
                <w:rFonts w:ascii="Calibri" w:hAnsi="Calibri"/>
                <w:spacing w:val="-2"/>
                <w:sz w:val="22"/>
              </w:rPr>
              <w:t> </w:t>
            </w:r>
            <w:r>
              <w:rPr>
                <w:rFonts w:ascii="Calibri" w:hAnsi="Calibri"/>
                <w:sz w:val="22"/>
              </w:rPr>
              <w:t>Estado</w:t>
            </w:r>
            <w:r>
              <w:rPr>
                <w:rFonts w:ascii="Calibri" w:hAnsi="Calibri"/>
                <w:spacing w:val="-3"/>
                <w:sz w:val="22"/>
              </w:rPr>
              <w:t> </w:t>
            </w:r>
            <w:r>
              <w:rPr>
                <w:rFonts w:ascii="Calibri" w:hAnsi="Calibri"/>
                <w:sz w:val="22"/>
              </w:rPr>
              <w:t>le</w:t>
            </w:r>
            <w:r>
              <w:rPr>
                <w:rFonts w:ascii="Calibri" w:hAnsi="Calibri"/>
                <w:spacing w:val="-3"/>
                <w:sz w:val="22"/>
              </w:rPr>
              <w:t> </w:t>
            </w:r>
            <w:r>
              <w:rPr>
                <w:rFonts w:ascii="Calibri" w:hAnsi="Calibri"/>
                <w:sz w:val="22"/>
              </w:rPr>
              <w:t>ofrece</w:t>
            </w:r>
            <w:r>
              <w:rPr>
                <w:rFonts w:ascii="Calibri" w:hAnsi="Calibri"/>
                <w:spacing w:val="-2"/>
                <w:sz w:val="22"/>
              </w:rPr>
              <w:t> </w:t>
            </w:r>
            <w:r>
              <w:rPr>
                <w:rFonts w:ascii="Calibri" w:hAnsi="Calibri"/>
                <w:sz w:val="22"/>
              </w:rPr>
              <w:t>suficiente</w:t>
            </w:r>
            <w:r>
              <w:rPr>
                <w:rFonts w:ascii="Calibri" w:hAnsi="Calibri"/>
                <w:spacing w:val="-2"/>
                <w:sz w:val="22"/>
              </w:rPr>
              <w:t> protección</w:t>
            </w:r>
          </w:p>
          <w:p>
            <w:pPr>
              <w:pStyle w:val="TableParagraph"/>
              <w:spacing w:line="247" w:lineRule="exact" w:before="1"/>
              <w:ind w:right="282"/>
              <w:jc w:val="right"/>
              <w:rPr>
                <w:rFonts w:ascii="Calibri" w:hAnsi="Calibri"/>
                <w:sz w:val="22"/>
              </w:rPr>
            </w:pPr>
            <w:r>
              <w:rPr>
                <w:rFonts w:ascii="Calibri" w:hAnsi="Calibri"/>
                <w:sz w:val="22"/>
              </w:rPr>
              <w:t>económica</w:t>
            </w:r>
            <w:r>
              <w:rPr>
                <w:rFonts w:ascii="Calibri" w:hAnsi="Calibri"/>
                <w:spacing w:val="-3"/>
                <w:sz w:val="22"/>
              </w:rPr>
              <w:t> </w:t>
            </w:r>
            <w:r>
              <w:rPr>
                <w:rFonts w:ascii="Calibri" w:hAnsi="Calibri"/>
                <w:sz w:val="22"/>
              </w:rPr>
              <w:t>frente</w:t>
            </w:r>
            <w:r>
              <w:rPr>
                <w:rFonts w:ascii="Calibri" w:hAnsi="Calibri"/>
                <w:spacing w:val="-3"/>
                <w:sz w:val="22"/>
              </w:rPr>
              <w:t> </w:t>
            </w:r>
            <w:r>
              <w:rPr>
                <w:rFonts w:ascii="Calibri" w:hAnsi="Calibri"/>
                <w:sz w:val="22"/>
              </w:rPr>
              <w:t>a</w:t>
            </w:r>
            <w:r>
              <w:rPr>
                <w:rFonts w:ascii="Calibri" w:hAnsi="Calibri"/>
                <w:spacing w:val="-5"/>
                <w:sz w:val="22"/>
              </w:rPr>
              <w:t> </w:t>
            </w:r>
            <w:r>
              <w:rPr>
                <w:rFonts w:ascii="Calibri" w:hAnsi="Calibri"/>
                <w:sz w:val="22"/>
              </w:rPr>
              <w:t>posibles</w:t>
            </w:r>
            <w:r>
              <w:rPr>
                <w:rFonts w:ascii="Calibri" w:hAnsi="Calibri"/>
                <w:spacing w:val="-3"/>
                <w:sz w:val="22"/>
              </w:rPr>
              <w:t> </w:t>
            </w:r>
            <w:r>
              <w:rPr>
                <w:rFonts w:ascii="Calibri" w:hAnsi="Calibri"/>
                <w:sz w:val="22"/>
              </w:rPr>
              <w:t>fluctuaciones</w:t>
            </w:r>
            <w:r>
              <w:rPr>
                <w:rFonts w:ascii="Calibri" w:hAnsi="Calibri"/>
                <w:spacing w:val="-5"/>
                <w:sz w:val="22"/>
              </w:rPr>
              <w:t> </w:t>
            </w:r>
            <w:r>
              <w:rPr>
                <w:rFonts w:ascii="Calibri" w:hAnsi="Calibri"/>
                <w:sz w:val="22"/>
              </w:rPr>
              <w:t>del</w:t>
            </w:r>
            <w:r>
              <w:rPr>
                <w:rFonts w:ascii="Calibri" w:hAnsi="Calibri"/>
                <w:spacing w:val="-2"/>
                <w:sz w:val="22"/>
              </w:rPr>
              <w:t> </w:t>
            </w:r>
            <w:r>
              <w:rPr>
                <w:rFonts w:ascii="Calibri" w:hAnsi="Calibri"/>
                <w:spacing w:val="-4"/>
                <w:sz w:val="22"/>
              </w:rPr>
              <w:t>IGV?</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bl>
    <w:p>
      <w:pPr>
        <w:spacing w:before="8"/>
        <w:ind w:left="0" w:right="134" w:firstLine="0"/>
        <w:jc w:val="center"/>
        <w:rPr>
          <w:rFonts w:ascii="Arial"/>
          <w:b/>
          <w:sz w:val="22"/>
        </w:rPr>
      </w:pPr>
      <w:r>
        <w:rPr>
          <w:rFonts w:ascii="Arial"/>
          <w:b/>
          <w:spacing w:val="-2"/>
          <w:sz w:val="22"/>
          <w:u w:val="single"/>
        </w:rPr>
        <w:t>Cuestionario</w:t>
      </w:r>
    </w:p>
    <w:p>
      <w:pPr>
        <w:spacing w:line="259" w:lineRule="auto" w:before="179"/>
        <w:ind w:left="2" w:right="143" w:firstLine="0"/>
        <w:jc w:val="both"/>
        <w:rPr>
          <w:rFonts w:ascii="Arial MT" w:hAnsi="Arial MT"/>
          <w:sz w:val="22"/>
        </w:rPr>
      </w:pPr>
      <w:r>
        <w:rPr>
          <w:rFonts w:ascii="Arial MT" w:hAnsi="Arial MT"/>
          <w:sz w:val="22"/>
        </w:rPr>
        <w:t>El presente cuestionario tiene como objetivo explicar la percepción económica de los comerciantes</w:t>
      </w:r>
      <w:r>
        <w:rPr>
          <w:rFonts w:ascii="Arial MT" w:hAnsi="Arial MT"/>
          <w:spacing w:val="25"/>
          <w:sz w:val="22"/>
        </w:rPr>
        <w:t> </w:t>
      </w:r>
      <w:r>
        <w:rPr>
          <w:rFonts w:ascii="Arial MT" w:hAnsi="Arial MT"/>
          <w:sz w:val="22"/>
        </w:rPr>
        <w:t>del</w:t>
      </w:r>
      <w:r>
        <w:rPr>
          <w:rFonts w:ascii="Arial MT" w:hAnsi="Arial MT"/>
          <w:spacing w:val="24"/>
          <w:sz w:val="22"/>
        </w:rPr>
        <w:t> </w:t>
      </w:r>
      <w:r>
        <w:rPr>
          <w:rFonts w:ascii="Arial MT" w:hAnsi="Arial MT"/>
          <w:sz w:val="22"/>
        </w:rPr>
        <w:t>Centro</w:t>
      </w:r>
      <w:r>
        <w:rPr>
          <w:rFonts w:ascii="Arial MT" w:hAnsi="Arial MT"/>
          <w:spacing w:val="26"/>
          <w:sz w:val="22"/>
        </w:rPr>
        <w:t> </w:t>
      </w:r>
      <w:r>
        <w:rPr>
          <w:rFonts w:ascii="Arial MT" w:hAnsi="Arial MT"/>
          <w:sz w:val="22"/>
        </w:rPr>
        <w:t>de</w:t>
      </w:r>
      <w:r>
        <w:rPr>
          <w:rFonts w:ascii="Arial MT" w:hAnsi="Arial MT"/>
          <w:spacing w:val="24"/>
          <w:sz w:val="22"/>
        </w:rPr>
        <w:t> </w:t>
      </w:r>
      <w:r>
        <w:rPr>
          <w:rFonts w:ascii="Arial MT" w:hAnsi="Arial MT"/>
          <w:sz w:val="22"/>
        </w:rPr>
        <w:t>Abastos</w:t>
      </w:r>
      <w:r>
        <w:rPr>
          <w:rFonts w:ascii="Arial MT" w:hAnsi="Arial MT"/>
          <w:spacing w:val="25"/>
          <w:sz w:val="22"/>
        </w:rPr>
        <w:t> </w:t>
      </w:r>
      <w:r>
        <w:rPr>
          <w:rFonts w:ascii="Arial MT" w:hAnsi="Arial MT"/>
          <w:sz w:val="22"/>
        </w:rPr>
        <w:t>Las</w:t>
      </w:r>
      <w:r>
        <w:rPr>
          <w:rFonts w:ascii="Arial MT" w:hAnsi="Arial MT"/>
          <w:spacing w:val="26"/>
          <w:sz w:val="22"/>
        </w:rPr>
        <w:t> </w:t>
      </w:r>
      <w:r>
        <w:rPr>
          <w:rFonts w:ascii="Arial MT" w:hAnsi="Arial MT"/>
          <w:sz w:val="22"/>
        </w:rPr>
        <w:t>Mercedes</w:t>
      </w:r>
      <w:r>
        <w:rPr>
          <w:rFonts w:ascii="Arial MT" w:hAnsi="Arial MT"/>
          <w:spacing w:val="25"/>
          <w:sz w:val="22"/>
        </w:rPr>
        <w:t> </w:t>
      </w:r>
      <w:r>
        <w:rPr>
          <w:rFonts w:ascii="Arial MT" w:hAnsi="Arial MT"/>
          <w:sz w:val="22"/>
        </w:rPr>
        <w:t>de</w:t>
      </w:r>
      <w:r>
        <w:rPr>
          <w:rFonts w:ascii="Arial MT" w:hAnsi="Arial MT"/>
          <w:spacing w:val="24"/>
          <w:sz w:val="22"/>
        </w:rPr>
        <w:t> </w:t>
      </w:r>
      <w:r>
        <w:rPr>
          <w:rFonts w:ascii="Arial MT" w:hAnsi="Arial MT"/>
          <w:sz w:val="22"/>
        </w:rPr>
        <w:t>Juliaca</w:t>
      </w:r>
      <w:r>
        <w:rPr>
          <w:rFonts w:ascii="Arial MT" w:hAnsi="Arial MT"/>
          <w:spacing w:val="25"/>
          <w:sz w:val="22"/>
        </w:rPr>
        <w:t> </w:t>
      </w:r>
      <w:r>
        <w:rPr>
          <w:rFonts w:ascii="Arial MT" w:hAnsi="Arial MT"/>
          <w:sz w:val="22"/>
        </w:rPr>
        <w:t>durante</w:t>
      </w:r>
      <w:r>
        <w:rPr>
          <w:rFonts w:ascii="Arial MT" w:hAnsi="Arial MT"/>
          <w:spacing w:val="25"/>
          <w:sz w:val="22"/>
        </w:rPr>
        <w:t> </w:t>
      </w:r>
      <w:r>
        <w:rPr>
          <w:rFonts w:ascii="Arial MT" w:hAnsi="Arial MT"/>
          <w:sz w:val="22"/>
        </w:rPr>
        <w:t>el</w:t>
      </w:r>
      <w:r>
        <w:rPr>
          <w:rFonts w:ascii="Arial MT" w:hAnsi="Arial MT"/>
          <w:spacing w:val="24"/>
          <w:sz w:val="22"/>
        </w:rPr>
        <w:t> </w:t>
      </w:r>
      <w:r>
        <w:rPr>
          <w:rFonts w:ascii="Arial MT" w:hAnsi="Arial MT"/>
          <w:sz w:val="22"/>
        </w:rPr>
        <w:t>año</w:t>
      </w:r>
      <w:r>
        <w:rPr>
          <w:rFonts w:ascii="Arial MT" w:hAnsi="Arial MT"/>
          <w:spacing w:val="23"/>
          <w:sz w:val="22"/>
        </w:rPr>
        <w:t> </w:t>
      </w:r>
      <w:r>
        <w:rPr>
          <w:rFonts w:ascii="Arial MT" w:hAnsi="Arial MT"/>
          <w:sz w:val="22"/>
        </w:rPr>
        <w:t>2023.</w:t>
      </w:r>
      <w:r>
        <w:rPr>
          <w:rFonts w:ascii="Arial MT" w:hAnsi="Arial MT"/>
          <w:spacing w:val="26"/>
          <w:sz w:val="22"/>
        </w:rPr>
        <w:t> </w:t>
      </w:r>
      <w:r>
        <w:rPr>
          <w:rFonts w:ascii="Arial MT" w:hAnsi="Arial MT"/>
          <w:spacing w:val="-5"/>
          <w:sz w:val="22"/>
        </w:rPr>
        <w:t>Le</w:t>
      </w:r>
    </w:p>
    <w:p>
      <w:pPr>
        <w:spacing w:after="0" w:line="259" w:lineRule="auto"/>
        <w:jc w:val="both"/>
        <w:rPr>
          <w:rFonts w:ascii="Arial MT" w:hAnsi="Arial MT"/>
          <w:sz w:val="22"/>
        </w:rPr>
        <w:sectPr>
          <w:pgSz w:w="11910" w:h="16840"/>
          <w:pgMar w:header="0" w:footer="693" w:top="1340" w:bottom="880" w:left="1700" w:right="1275"/>
        </w:sectPr>
      </w:pPr>
    </w:p>
    <w:p>
      <w:pPr>
        <w:spacing w:line="259" w:lineRule="auto" w:before="68"/>
        <w:ind w:left="2" w:right="143" w:firstLine="0"/>
        <w:jc w:val="both"/>
        <w:rPr>
          <w:rFonts w:ascii="Arial MT" w:hAnsi="Arial MT"/>
          <w:sz w:val="22"/>
        </w:rPr>
      </w:pPr>
      <w:r>
        <w:rPr>
          <w:rFonts w:ascii="Arial MT" w:hAnsi="Arial MT"/>
          <w:sz w:val="22"/>
        </w:rPr>
        <w:t>solicitamos que responda cada una de las preguntas con la mayor precisión y objetividad posible. Su colaboración es fundamental para el éxito de este estudio, y le agradecemos de antemano su valiosa participación.</w:t>
      </w:r>
    </w:p>
    <w:p>
      <w:pPr>
        <w:pStyle w:val="BodyText"/>
        <w:spacing w:before="13"/>
        <w:rPr>
          <w:rFonts w:ascii="Arial MT"/>
          <w:sz w:val="20"/>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8"/>
        <w:gridCol w:w="2938"/>
        <w:gridCol w:w="2634"/>
      </w:tblGrid>
      <w:tr>
        <w:trPr>
          <w:trHeight w:val="432" w:hRule="atLeast"/>
        </w:trPr>
        <w:tc>
          <w:tcPr>
            <w:tcW w:w="2928" w:type="dxa"/>
          </w:tcPr>
          <w:p>
            <w:pPr>
              <w:pStyle w:val="TableParagraph"/>
              <w:spacing w:before="1"/>
              <w:ind w:left="466"/>
              <w:rPr>
                <w:sz w:val="22"/>
              </w:rPr>
            </w:pPr>
            <w:r>
              <w:rPr>
                <w:rFonts w:ascii="Arial"/>
                <w:b/>
                <w:sz w:val="22"/>
              </w:rPr>
              <w:t>1.</w:t>
            </w:r>
            <w:r>
              <w:rPr>
                <w:rFonts w:ascii="Arial"/>
                <w:b/>
                <w:spacing w:val="26"/>
                <w:sz w:val="22"/>
              </w:rPr>
              <w:t>  </w:t>
            </w:r>
            <w:r>
              <w:rPr>
                <w:sz w:val="22"/>
              </w:rPr>
              <w:t>Muy en</w:t>
            </w:r>
            <w:r>
              <w:rPr>
                <w:spacing w:val="-1"/>
                <w:sz w:val="22"/>
              </w:rPr>
              <w:t> </w:t>
            </w:r>
            <w:r>
              <w:rPr>
                <w:spacing w:val="-2"/>
                <w:sz w:val="22"/>
              </w:rPr>
              <w:t>Desacuerdo</w:t>
            </w:r>
          </w:p>
        </w:tc>
        <w:tc>
          <w:tcPr>
            <w:tcW w:w="2938" w:type="dxa"/>
            <w:vMerge w:val="restart"/>
          </w:tcPr>
          <w:p>
            <w:pPr>
              <w:pStyle w:val="TableParagraph"/>
              <w:spacing w:before="221"/>
              <w:ind w:left="467"/>
              <w:rPr>
                <w:sz w:val="22"/>
              </w:rPr>
            </w:pPr>
            <w:r>
              <w:rPr>
                <w:rFonts w:ascii="Arial"/>
                <w:b/>
                <w:sz w:val="22"/>
              </w:rPr>
              <w:t>2.</w:t>
            </w:r>
            <w:r>
              <w:rPr>
                <w:rFonts w:ascii="Arial"/>
                <w:b/>
                <w:spacing w:val="26"/>
                <w:sz w:val="22"/>
              </w:rPr>
              <w:t>  </w:t>
            </w:r>
            <w:r>
              <w:rPr>
                <w:sz w:val="22"/>
              </w:rPr>
              <w:t>En</w:t>
            </w:r>
            <w:r>
              <w:rPr>
                <w:spacing w:val="-1"/>
                <w:sz w:val="22"/>
              </w:rPr>
              <w:t> </w:t>
            </w:r>
            <w:r>
              <w:rPr>
                <w:spacing w:val="-2"/>
                <w:sz w:val="22"/>
              </w:rPr>
              <w:t>Desacuerdo</w:t>
            </w:r>
          </w:p>
        </w:tc>
        <w:tc>
          <w:tcPr>
            <w:tcW w:w="2634" w:type="dxa"/>
          </w:tcPr>
          <w:p>
            <w:pPr>
              <w:pStyle w:val="TableParagraph"/>
              <w:spacing w:before="1"/>
              <w:ind w:left="469"/>
              <w:rPr>
                <w:sz w:val="22"/>
              </w:rPr>
            </w:pPr>
            <w:r>
              <w:rPr>
                <w:rFonts w:ascii="Arial"/>
                <w:b/>
                <w:sz w:val="22"/>
              </w:rPr>
              <w:t>3.</w:t>
            </w:r>
            <w:r>
              <w:rPr>
                <w:rFonts w:ascii="Arial"/>
                <w:b/>
                <w:spacing w:val="26"/>
                <w:sz w:val="22"/>
              </w:rPr>
              <w:t>  </w:t>
            </w:r>
            <w:r>
              <w:rPr>
                <w:spacing w:val="-2"/>
                <w:sz w:val="22"/>
              </w:rPr>
              <w:t>Neutral</w:t>
            </w:r>
          </w:p>
        </w:tc>
      </w:tr>
      <w:tr>
        <w:trPr>
          <w:trHeight w:val="433" w:hRule="atLeast"/>
        </w:trPr>
        <w:tc>
          <w:tcPr>
            <w:tcW w:w="2928" w:type="dxa"/>
          </w:tcPr>
          <w:p>
            <w:pPr>
              <w:pStyle w:val="TableParagraph"/>
              <w:spacing w:before="1"/>
              <w:ind w:left="466"/>
              <w:rPr>
                <w:sz w:val="22"/>
              </w:rPr>
            </w:pPr>
            <w:r>
              <w:rPr>
                <w:rFonts w:ascii="Arial"/>
                <w:b/>
                <w:sz w:val="22"/>
              </w:rPr>
              <w:t>4.</w:t>
            </w:r>
            <w:r>
              <w:rPr>
                <w:rFonts w:ascii="Arial"/>
                <w:b/>
                <w:spacing w:val="25"/>
                <w:sz w:val="22"/>
              </w:rPr>
              <w:t>  </w:t>
            </w:r>
            <w:r>
              <w:rPr>
                <w:sz w:val="22"/>
              </w:rPr>
              <w:t>De </w:t>
            </w:r>
            <w:r>
              <w:rPr>
                <w:spacing w:val="-2"/>
                <w:sz w:val="22"/>
              </w:rPr>
              <w:t>Acuerdo</w:t>
            </w:r>
          </w:p>
        </w:tc>
        <w:tc>
          <w:tcPr>
            <w:tcW w:w="2938" w:type="dxa"/>
            <w:vMerge/>
            <w:tcBorders>
              <w:top w:val="nil"/>
            </w:tcBorders>
          </w:tcPr>
          <w:p>
            <w:pPr>
              <w:rPr>
                <w:sz w:val="2"/>
                <w:szCs w:val="2"/>
              </w:rPr>
            </w:pPr>
          </w:p>
        </w:tc>
        <w:tc>
          <w:tcPr>
            <w:tcW w:w="2634" w:type="dxa"/>
          </w:tcPr>
          <w:p>
            <w:pPr>
              <w:pStyle w:val="TableParagraph"/>
              <w:spacing w:before="1"/>
              <w:ind w:left="469"/>
              <w:rPr>
                <w:sz w:val="22"/>
              </w:rPr>
            </w:pPr>
            <w:r>
              <w:rPr>
                <w:rFonts w:ascii="Arial"/>
                <w:b/>
                <w:sz w:val="22"/>
              </w:rPr>
              <w:t>5.</w:t>
            </w:r>
            <w:r>
              <w:rPr>
                <w:rFonts w:ascii="Arial"/>
                <w:b/>
                <w:spacing w:val="26"/>
                <w:sz w:val="22"/>
              </w:rPr>
              <w:t>  </w:t>
            </w:r>
            <w:r>
              <w:rPr>
                <w:sz w:val="22"/>
              </w:rPr>
              <w:t>Muy</w:t>
            </w:r>
            <w:r>
              <w:rPr>
                <w:spacing w:val="1"/>
                <w:sz w:val="22"/>
              </w:rPr>
              <w:t> </w:t>
            </w:r>
            <w:r>
              <w:rPr>
                <w:sz w:val="22"/>
              </w:rPr>
              <w:t>de</w:t>
            </w:r>
            <w:r>
              <w:rPr>
                <w:spacing w:val="-1"/>
                <w:sz w:val="22"/>
              </w:rPr>
              <w:t> </w:t>
            </w:r>
            <w:r>
              <w:rPr>
                <w:spacing w:val="-2"/>
                <w:sz w:val="22"/>
              </w:rPr>
              <w:t>Acuerdo</w:t>
            </w:r>
          </w:p>
        </w:tc>
      </w:tr>
    </w:tbl>
    <w:p>
      <w:pPr>
        <w:pStyle w:val="BodyText"/>
        <w:spacing w:before="219"/>
        <w:rPr>
          <w:rFonts w:ascii="Arial MT"/>
          <w:sz w:val="20"/>
        </w:rPr>
      </w:pPr>
    </w:p>
    <w:tbl>
      <w:tblPr>
        <w:tblW w:w="0" w:type="auto"/>
        <w:jc w:val="left"/>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5"/>
        <w:gridCol w:w="568"/>
        <w:gridCol w:w="567"/>
        <w:gridCol w:w="614"/>
        <w:gridCol w:w="540"/>
        <w:gridCol w:w="542"/>
      </w:tblGrid>
      <w:tr>
        <w:trPr>
          <w:trHeight w:val="270" w:hRule="atLeast"/>
        </w:trPr>
        <w:tc>
          <w:tcPr>
            <w:tcW w:w="5665" w:type="dxa"/>
            <w:vMerge w:val="restart"/>
          </w:tcPr>
          <w:p>
            <w:pPr>
              <w:pStyle w:val="TableParagraph"/>
              <w:ind w:left="106"/>
              <w:rPr>
                <w:rFonts w:ascii="Calibri" w:hAnsi="Calibri"/>
                <w:b/>
                <w:sz w:val="22"/>
              </w:rPr>
            </w:pPr>
            <w:r>
              <w:rPr>
                <w:rFonts w:ascii="Calibri" w:hAnsi="Calibri"/>
                <w:b/>
                <w:sz w:val="22"/>
              </w:rPr>
              <w:t>DIMENSIONES</w:t>
            </w:r>
            <w:r>
              <w:rPr>
                <w:rFonts w:ascii="Calibri" w:hAnsi="Calibri"/>
                <w:b/>
                <w:spacing w:val="-3"/>
                <w:sz w:val="22"/>
              </w:rPr>
              <w:t> </w:t>
            </w:r>
            <w:r>
              <w:rPr>
                <w:rFonts w:ascii="Calibri" w:hAnsi="Calibri"/>
                <w:b/>
                <w:sz w:val="22"/>
              </w:rPr>
              <w:t>DE</w:t>
            </w:r>
            <w:r>
              <w:rPr>
                <w:rFonts w:ascii="Calibri" w:hAnsi="Calibri"/>
                <w:b/>
                <w:spacing w:val="-2"/>
                <w:sz w:val="22"/>
              </w:rPr>
              <w:t> </w:t>
            </w:r>
            <w:r>
              <w:rPr>
                <w:rFonts w:ascii="Calibri" w:hAnsi="Calibri"/>
                <w:b/>
                <w:sz w:val="22"/>
              </w:rPr>
              <w:t>PERCEPCIÓN</w:t>
            </w:r>
            <w:r>
              <w:rPr>
                <w:rFonts w:ascii="Calibri" w:hAnsi="Calibri"/>
                <w:b/>
                <w:spacing w:val="-3"/>
                <w:sz w:val="22"/>
              </w:rPr>
              <w:t> </w:t>
            </w:r>
            <w:r>
              <w:rPr>
                <w:rFonts w:ascii="Calibri" w:hAnsi="Calibri"/>
                <w:b/>
                <w:spacing w:val="-2"/>
                <w:sz w:val="22"/>
              </w:rPr>
              <w:t>ECONÓMICA</w:t>
            </w:r>
          </w:p>
        </w:tc>
        <w:tc>
          <w:tcPr>
            <w:tcW w:w="2831" w:type="dxa"/>
            <w:gridSpan w:val="5"/>
          </w:tcPr>
          <w:p>
            <w:pPr>
              <w:pStyle w:val="TableParagraph"/>
              <w:spacing w:line="249" w:lineRule="exact"/>
              <w:ind w:left="848"/>
              <w:rPr>
                <w:rFonts w:ascii="Calibri"/>
                <w:b/>
                <w:sz w:val="22"/>
              </w:rPr>
            </w:pPr>
            <w:r>
              <w:rPr>
                <w:rFonts w:ascii="Calibri"/>
                <w:b/>
                <w:sz w:val="22"/>
              </w:rPr>
              <w:t>Escala</w:t>
            </w:r>
            <w:r>
              <w:rPr>
                <w:rFonts w:ascii="Calibri"/>
                <w:b/>
                <w:spacing w:val="-2"/>
                <w:sz w:val="22"/>
              </w:rPr>
              <w:t> Likert</w:t>
            </w:r>
          </w:p>
        </w:tc>
      </w:tr>
      <w:tr>
        <w:trPr>
          <w:trHeight w:val="268" w:hRule="atLeast"/>
        </w:trPr>
        <w:tc>
          <w:tcPr>
            <w:tcW w:w="5665" w:type="dxa"/>
            <w:vMerge/>
            <w:tcBorders>
              <w:top w:val="nil"/>
            </w:tcBorders>
          </w:tcPr>
          <w:p>
            <w:pPr>
              <w:rPr>
                <w:sz w:val="2"/>
                <w:szCs w:val="2"/>
              </w:rPr>
            </w:pPr>
          </w:p>
        </w:tc>
        <w:tc>
          <w:tcPr>
            <w:tcW w:w="568" w:type="dxa"/>
          </w:tcPr>
          <w:p>
            <w:pPr>
              <w:pStyle w:val="TableParagraph"/>
              <w:spacing w:line="247" w:lineRule="exact"/>
              <w:ind w:left="6"/>
              <w:jc w:val="center"/>
              <w:rPr>
                <w:rFonts w:ascii="Calibri"/>
                <w:sz w:val="22"/>
              </w:rPr>
            </w:pPr>
            <w:r>
              <w:rPr>
                <w:rFonts w:ascii="Calibri"/>
                <w:spacing w:val="-10"/>
                <w:sz w:val="22"/>
              </w:rPr>
              <w:t>1</w:t>
            </w:r>
          </w:p>
        </w:tc>
        <w:tc>
          <w:tcPr>
            <w:tcW w:w="567" w:type="dxa"/>
          </w:tcPr>
          <w:p>
            <w:pPr>
              <w:pStyle w:val="TableParagraph"/>
              <w:spacing w:line="247" w:lineRule="exact"/>
              <w:ind w:left="7"/>
              <w:jc w:val="center"/>
              <w:rPr>
                <w:rFonts w:ascii="Calibri"/>
                <w:sz w:val="22"/>
              </w:rPr>
            </w:pPr>
            <w:r>
              <w:rPr>
                <w:rFonts w:ascii="Calibri"/>
                <w:spacing w:val="-10"/>
                <w:sz w:val="22"/>
              </w:rPr>
              <w:t>2</w:t>
            </w:r>
          </w:p>
        </w:tc>
        <w:tc>
          <w:tcPr>
            <w:tcW w:w="614" w:type="dxa"/>
          </w:tcPr>
          <w:p>
            <w:pPr>
              <w:pStyle w:val="TableParagraph"/>
              <w:spacing w:line="247" w:lineRule="exact"/>
              <w:ind w:left="3"/>
              <w:jc w:val="center"/>
              <w:rPr>
                <w:rFonts w:ascii="Calibri"/>
                <w:sz w:val="22"/>
              </w:rPr>
            </w:pPr>
            <w:r>
              <w:rPr>
                <w:rFonts w:ascii="Calibri"/>
                <w:spacing w:val="-10"/>
                <w:sz w:val="22"/>
              </w:rPr>
              <w:t>3</w:t>
            </w:r>
          </w:p>
        </w:tc>
        <w:tc>
          <w:tcPr>
            <w:tcW w:w="540" w:type="dxa"/>
          </w:tcPr>
          <w:p>
            <w:pPr>
              <w:pStyle w:val="TableParagraph"/>
              <w:spacing w:line="247" w:lineRule="exact"/>
              <w:ind w:left="5"/>
              <w:jc w:val="center"/>
              <w:rPr>
                <w:rFonts w:ascii="Calibri"/>
                <w:sz w:val="22"/>
              </w:rPr>
            </w:pPr>
            <w:r>
              <w:rPr>
                <w:rFonts w:ascii="Calibri"/>
                <w:spacing w:val="-10"/>
                <w:sz w:val="22"/>
              </w:rPr>
              <w:t>4</w:t>
            </w:r>
          </w:p>
        </w:tc>
        <w:tc>
          <w:tcPr>
            <w:tcW w:w="542" w:type="dxa"/>
          </w:tcPr>
          <w:p>
            <w:pPr>
              <w:pStyle w:val="TableParagraph"/>
              <w:spacing w:line="247" w:lineRule="exact"/>
              <w:ind w:left="3"/>
              <w:jc w:val="center"/>
              <w:rPr>
                <w:rFonts w:ascii="Calibri"/>
                <w:sz w:val="22"/>
              </w:rPr>
            </w:pPr>
            <w:r>
              <w:rPr>
                <w:rFonts w:ascii="Calibri"/>
                <w:spacing w:val="-10"/>
                <w:sz w:val="22"/>
              </w:rPr>
              <w:t>5</w:t>
            </w:r>
          </w:p>
        </w:tc>
      </w:tr>
      <w:tr>
        <w:trPr>
          <w:trHeight w:val="267" w:hRule="atLeast"/>
        </w:trPr>
        <w:tc>
          <w:tcPr>
            <w:tcW w:w="5665" w:type="dxa"/>
            <w:shd w:val="clear" w:color="auto" w:fill="ADAAAA"/>
          </w:tcPr>
          <w:p>
            <w:pPr>
              <w:pStyle w:val="TableParagraph"/>
              <w:spacing w:line="247" w:lineRule="exact"/>
              <w:ind w:left="106"/>
              <w:rPr>
                <w:rFonts w:ascii="Calibri" w:hAnsi="Calibri"/>
                <w:b/>
                <w:sz w:val="22"/>
              </w:rPr>
            </w:pPr>
            <w:r>
              <w:rPr>
                <w:rFonts w:ascii="Calibri" w:hAnsi="Calibri"/>
                <w:b/>
                <w:sz w:val="22"/>
              </w:rPr>
              <w:t>Actividad</w:t>
            </w:r>
            <w:r>
              <w:rPr>
                <w:rFonts w:ascii="Calibri" w:hAnsi="Calibri"/>
                <w:b/>
                <w:spacing w:val="-2"/>
                <w:sz w:val="22"/>
              </w:rPr>
              <w:t> económica</w:t>
            </w:r>
          </w:p>
        </w:tc>
        <w:tc>
          <w:tcPr>
            <w:tcW w:w="568" w:type="dxa"/>
            <w:shd w:val="clear" w:color="auto" w:fill="ADAAAA"/>
          </w:tcPr>
          <w:p>
            <w:pPr>
              <w:pStyle w:val="TableParagraph"/>
              <w:rPr>
                <w:rFonts w:ascii="Times New Roman"/>
                <w:sz w:val="18"/>
              </w:rPr>
            </w:pPr>
          </w:p>
        </w:tc>
        <w:tc>
          <w:tcPr>
            <w:tcW w:w="567" w:type="dxa"/>
            <w:shd w:val="clear" w:color="auto" w:fill="ADAAAA"/>
          </w:tcPr>
          <w:p>
            <w:pPr>
              <w:pStyle w:val="TableParagraph"/>
              <w:rPr>
                <w:rFonts w:ascii="Times New Roman"/>
                <w:sz w:val="18"/>
              </w:rPr>
            </w:pPr>
          </w:p>
        </w:tc>
        <w:tc>
          <w:tcPr>
            <w:tcW w:w="614" w:type="dxa"/>
            <w:shd w:val="clear" w:color="auto" w:fill="ADAAAA"/>
          </w:tcPr>
          <w:p>
            <w:pPr>
              <w:pStyle w:val="TableParagraph"/>
              <w:rPr>
                <w:rFonts w:ascii="Times New Roman"/>
                <w:sz w:val="18"/>
              </w:rPr>
            </w:pPr>
          </w:p>
        </w:tc>
        <w:tc>
          <w:tcPr>
            <w:tcW w:w="540" w:type="dxa"/>
            <w:shd w:val="clear" w:color="auto" w:fill="ADAAAA"/>
          </w:tcPr>
          <w:p>
            <w:pPr>
              <w:pStyle w:val="TableParagraph"/>
              <w:rPr>
                <w:rFonts w:ascii="Times New Roman"/>
                <w:sz w:val="18"/>
              </w:rPr>
            </w:pPr>
          </w:p>
        </w:tc>
        <w:tc>
          <w:tcPr>
            <w:tcW w:w="542" w:type="dxa"/>
            <w:shd w:val="clear" w:color="auto" w:fill="ADAAAA"/>
          </w:tcPr>
          <w:p>
            <w:pPr>
              <w:pStyle w:val="TableParagraph"/>
              <w:rPr>
                <w:rFonts w:ascii="Times New Roman"/>
                <w:sz w:val="18"/>
              </w:rPr>
            </w:pPr>
          </w:p>
        </w:tc>
      </w:tr>
      <w:tr>
        <w:trPr>
          <w:trHeight w:val="537" w:hRule="atLeast"/>
        </w:trPr>
        <w:tc>
          <w:tcPr>
            <w:tcW w:w="5665" w:type="dxa"/>
          </w:tcPr>
          <w:p>
            <w:pPr>
              <w:pStyle w:val="TableParagraph"/>
              <w:tabs>
                <w:tab w:pos="827" w:val="left" w:leader="none"/>
              </w:tabs>
              <w:ind w:left="467"/>
              <w:rPr>
                <w:rFonts w:ascii="Calibri" w:hAnsi="Calibri"/>
                <w:sz w:val="22"/>
              </w:rPr>
            </w:pPr>
            <w:r>
              <w:rPr>
                <w:rFonts w:ascii="Calibri" w:hAnsi="Calibri"/>
                <w:spacing w:val="-5"/>
                <w:sz w:val="18"/>
              </w:rPr>
              <w:t>1.</w:t>
            </w:r>
            <w:r>
              <w:rPr>
                <w:rFonts w:ascii="Calibri" w:hAnsi="Calibri"/>
                <w:sz w:val="18"/>
              </w:rPr>
              <w:tab/>
            </w:r>
            <w:r>
              <w:rPr>
                <w:rFonts w:ascii="Calibri" w:hAnsi="Calibri"/>
                <w:sz w:val="22"/>
              </w:rPr>
              <w:t>¿Ha</w:t>
            </w:r>
            <w:r>
              <w:rPr>
                <w:rFonts w:ascii="Calibri" w:hAnsi="Calibri"/>
                <w:spacing w:val="-3"/>
                <w:sz w:val="22"/>
              </w:rPr>
              <w:t> </w:t>
            </w:r>
            <w:r>
              <w:rPr>
                <w:rFonts w:ascii="Calibri" w:hAnsi="Calibri"/>
                <w:sz w:val="22"/>
              </w:rPr>
              <w:t>notado</w:t>
            </w:r>
            <w:r>
              <w:rPr>
                <w:rFonts w:ascii="Calibri" w:hAnsi="Calibri"/>
                <w:spacing w:val="-3"/>
                <w:sz w:val="22"/>
              </w:rPr>
              <w:t> </w:t>
            </w:r>
            <w:r>
              <w:rPr>
                <w:rFonts w:ascii="Calibri" w:hAnsi="Calibri"/>
                <w:sz w:val="22"/>
              </w:rPr>
              <w:t>un</w:t>
            </w:r>
            <w:r>
              <w:rPr>
                <w:rFonts w:ascii="Calibri" w:hAnsi="Calibri"/>
                <w:spacing w:val="-4"/>
                <w:sz w:val="22"/>
              </w:rPr>
              <w:t> </w:t>
            </w:r>
            <w:r>
              <w:rPr>
                <w:rFonts w:ascii="Calibri" w:hAnsi="Calibri"/>
                <w:sz w:val="22"/>
              </w:rPr>
              <w:t>cambio</w:t>
            </w:r>
            <w:r>
              <w:rPr>
                <w:rFonts w:ascii="Calibri" w:hAnsi="Calibri"/>
                <w:spacing w:val="-4"/>
                <w:sz w:val="22"/>
              </w:rPr>
              <w:t> </w:t>
            </w:r>
            <w:r>
              <w:rPr>
                <w:rFonts w:ascii="Calibri" w:hAnsi="Calibri"/>
                <w:sz w:val="22"/>
              </w:rPr>
              <w:t>significativo</w:t>
            </w:r>
            <w:r>
              <w:rPr>
                <w:rFonts w:ascii="Calibri" w:hAnsi="Calibri"/>
                <w:spacing w:val="-4"/>
                <w:sz w:val="22"/>
              </w:rPr>
              <w:t> </w:t>
            </w:r>
            <w:r>
              <w:rPr>
                <w:rFonts w:ascii="Calibri" w:hAnsi="Calibri"/>
                <w:sz w:val="22"/>
              </w:rPr>
              <w:t>en</w:t>
            </w:r>
            <w:r>
              <w:rPr>
                <w:rFonts w:ascii="Calibri" w:hAnsi="Calibri"/>
                <w:spacing w:val="-2"/>
                <w:sz w:val="22"/>
              </w:rPr>
              <w:t> </w:t>
            </w:r>
            <w:r>
              <w:rPr>
                <w:rFonts w:ascii="Calibri" w:hAnsi="Calibri"/>
                <w:sz w:val="22"/>
              </w:rPr>
              <w:t>el</w:t>
            </w:r>
            <w:r>
              <w:rPr>
                <w:rFonts w:ascii="Calibri" w:hAnsi="Calibri"/>
                <w:spacing w:val="-3"/>
                <w:sz w:val="22"/>
              </w:rPr>
              <w:t> </w:t>
            </w:r>
            <w:r>
              <w:rPr>
                <w:rFonts w:ascii="Calibri" w:hAnsi="Calibri"/>
                <w:sz w:val="22"/>
              </w:rPr>
              <w:t>nivel</w:t>
            </w:r>
            <w:r>
              <w:rPr>
                <w:rFonts w:ascii="Calibri" w:hAnsi="Calibri"/>
                <w:spacing w:val="-2"/>
                <w:sz w:val="22"/>
              </w:rPr>
              <w:t> </w:t>
            </w:r>
            <w:r>
              <w:rPr>
                <w:rFonts w:ascii="Calibri" w:hAnsi="Calibri"/>
                <w:sz w:val="22"/>
              </w:rPr>
              <w:t>de</w:t>
            </w:r>
            <w:r>
              <w:rPr>
                <w:rFonts w:ascii="Calibri" w:hAnsi="Calibri"/>
                <w:spacing w:val="-2"/>
                <w:sz w:val="22"/>
              </w:rPr>
              <w:t> </w:t>
            </w:r>
            <w:r>
              <w:rPr>
                <w:rFonts w:ascii="Calibri" w:hAnsi="Calibri"/>
                <w:spacing w:val="-5"/>
                <w:sz w:val="22"/>
              </w:rPr>
              <w:t>sus</w:t>
            </w:r>
          </w:p>
          <w:p>
            <w:pPr>
              <w:pStyle w:val="TableParagraph"/>
              <w:spacing w:line="247" w:lineRule="exact" w:before="2"/>
              <w:ind w:left="827"/>
              <w:rPr>
                <w:rFonts w:ascii="Calibri" w:hAnsi="Calibri"/>
                <w:sz w:val="22"/>
              </w:rPr>
            </w:pPr>
            <w:r>
              <w:rPr>
                <w:rFonts w:ascii="Calibri" w:hAnsi="Calibri"/>
                <w:sz w:val="22"/>
              </w:rPr>
              <w:t>ventas</w:t>
            </w:r>
            <w:r>
              <w:rPr>
                <w:rFonts w:ascii="Calibri" w:hAnsi="Calibri"/>
                <w:spacing w:val="-3"/>
                <w:sz w:val="22"/>
              </w:rPr>
              <w:t> </w:t>
            </w:r>
            <w:r>
              <w:rPr>
                <w:rFonts w:ascii="Calibri" w:hAnsi="Calibri"/>
                <w:sz w:val="22"/>
              </w:rPr>
              <w:t>mensuales</w:t>
            </w:r>
            <w:r>
              <w:rPr>
                <w:rFonts w:ascii="Calibri" w:hAnsi="Calibri"/>
                <w:spacing w:val="-5"/>
                <w:sz w:val="22"/>
              </w:rPr>
              <w:t> </w:t>
            </w:r>
            <w:r>
              <w:rPr>
                <w:rFonts w:ascii="Calibri" w:hAnsi="Calibri"/>
                <w:sz w:val="22"/>
              </w:rPr>
              <w:t>después</w:t>
            </w:r>
            <w:r>
              <w:rPr>
                <w:rFonts w:ascii="Calibri" w:hAnsi="Calibri"/>
                <w:spacing w:val="-2"/>
                <w:sz w:val="22"/>
              </w:rPr>
              <w:t> </w:t>
            </w:r>
            <w:r>
              <w:rPr>
                <w:rFonts w:ascii="Calibri" w:hAnsi="Calibri"/>
                <w:sz w:val="22"/>
              </w:rPr>
              <w:t>del</w:t>
            </w:r>
            <w:r>
              <w:rPr>
                <w:rFonts w:ascii="Calibri" w:hAnsi="Calibri"/>
                <w:spacing w:val="-2"/>
                <w:sz w:val="22"/>
              </w:rPr>
              <w:t> </w:t>
            </w:r>
            <w:r>
              <w:rPr>
                <w:rFonts w:ascii="Calibri" w:hAnsi="Calibri"/>
                <w:sz w:val="22"/>
              </w:rPr>
              <w:t>pago</w:t>
            </w:r>
            <w:r>
              <w:rPr>
                <w:rFonts w:ascii="Calibri" w:hAnsi="Calibri"/>
                <w:spacing w:val="-3"/>
                <w:sz w:val="22"/>
              </w:rPr>
              <w:t> </w:t>
            </w:r>
            <w:r>
              <w:rPr>
                <w:rFonts w:ascii="Calibri" w:hAnsi="Calibri"/>
                <w:sz w:val="22"/>
              </w:rPr>
              <w:t>del</w:t>
            </w:r>
            <w:r>
              <w:rPr>
                <w:rFonts w:ascii="Calibri" w:hAnsi="Calibri"/>
                <w:spacing w:val="-4"/>
                <w:sz w:val="22"/>
              </w:rPr>
              <w:t> IGV?</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535" w:hRule="atLeast"/>
        </w:trPr>
        <w:tc>
          <w:tcPr>
            <w:tcW w:w="5665" w:type="dxa"/>
          </w:tcPr>
          <w:p>
            <w:pPr>
              <w:pStyle w:val="TableParagraph"/>
              <w:tabs>
                <w:tab w:pos="827" w:val="left" w:leader="none"/>
              </w:tabs>
              <w:spacing w:line="268" w:lineRule="exact"/>
              <w:ind w:left="467"/>
              <w:rPr>
                <w:rFonts w:ascii="Calibri" w:hAnsi="Calibri"/>
                <w:sz w:val="22"/>
              </w:rPr>
            </w:pPr>
            <w:r>
              <w:rPr>
                <w:rFonts w:ascii="Calibri" w:hAnsi="Calibri"/>
                <w:spacing w:val="-5"/>
                <w:sz w:val="18"/>
              </w:rPr>
              <w:t>2.</w:t>
            </w:r>
            <w:r>
              <w:rPr>
                <w:rFonts w:ascii="Calibri" w:hAnsi="Calibri"/>
                <w:sz w:val="18"/>
              </w:rPr>
              <w:tab/>
            </w:r>
            <w:r>
              <w:rPr>
                <w:rFonts w:ascii="Calibri" w:hAnsi="Calibri"/>
                <w:sz w:val="22"/>
              </w:rPr>
              <w:t>¿Cree</w:t>
            </w:r>
            <w:r>
              <w:rPr>
                <w:rFonts w:ascii="Calibri" w:hAnsi="Calibri"/>
                <w:spacing w:val="-2"/>
                <w:sz w:val="22"/>
              </w:rPr>
              <w:t> </w:t>
            </w:r>
            <w:r>
              <w:rPr>
                <w:rFonts w:ascii="Calibri" w:hAnsi="Calibri"/>
                <w:sz w:val="22"/>
              </w:rPr>
              <w:t>que</w:t>
            </w:r>
            <w:r>
              <w:rPr>
                <w:rFonts w:ascii="Calibri" w:hAnsi="Calibri"/>
                <w:spacing w:val="-4"/>
                <w:sz w:val="22"/>
              </w:rPr>
              <w:t> </w:t>
            </w:r>
            <w:r>
              <w:rPr>
                <w:rFonts w:ascii="Calibri" w:hAnsi="Calibri"/>
                <w:sz w:val="22"/>
              </w:rPr>
              <w:t>el</w:t>
            </w:r>
            <w:r>
              <w:rPr>
                <w:rFonts w:ascii="Calibri" w:hAnsi="Calibri"/>
                <w:spacing w:val="-2"/>
                <w:sz w:val="22"/>
              </w:rPr>
              <w:t> </w:t>
            </w:r>
            <w:r>
              <w:rPr>
                <w:rFonts w:ascii="Calibri" w:hAnsi="Calibri"/>
                <w:sz w:val="22"/>
              </w:rPr>
              <w:t>IGV</w:t>
            </w:r>
            <w:r>
              <w:rPr>
                <w:rFonts w:ascii="Calibri" w:hAnsi="Calibri"/>
                <w:spacing w:val="-4"/>
                <w:sz w:val="22"/>
              </w:rPr>
              <w:t> </w:t>
            </w:r>
            <w:r>
              <w:rPr>
                <w:rFonts w:ascii="Calibri" w:hAnsi="Calibri"/>
                <w:sz w:val="22"/>
              </w:rPr>
              <w:t>afecta</w:t>
            </w:r>
            <w:r>
              <w:rPr>
                <w:rFonts w:ascii="Calibri" w:hAnsi="Calibri"/>
                <w:spacing w:val="-2"/>
                <w:sz w:val="22"/>
              </w:rPr>
              <w:t> </w:t>
            </w:r>
            <w:r>
              <w:rPr>
                <w:rFonts w:ascii="Calibri" w:hAnsi="Calibri"/>
                <w:sz w:val="22"/>
              </w:rPr>
              <w:t>la</w:t>
            </w:r>
            <w:r>
              <w:rPr>
                <w:rFonts w:ascii="Calibri" w:hAnsi="Calibri"/>
                <w:spacing w:val="-3"/>
                <w:sz w:val="22"/>
              </w:rPr>
              <w:t> </w:t>
            </w:r>
            <w:r>
              <w:rPr>
                <w:rFonts w:ascii="Calibri" w:hAnsi="Calibri"/>
                <w:sz w:val="22"/>
              </w:rPr>
              <w:t>frecuencia</w:t>
            </w:r>
            <w:r>
              <w:rPr>
                <w:rFonts w:ascii="Calibri" w:hAnsi="Calibri"/>
                <w:spacing w:val="-3"/>
                <w:sz w:val="22"/>
              </w:rPr>
              <w:t> </w:t>
            </w:r>
            <w:r>
              <w:rPr>
                <w:rFonts w:ascii="Calibri" w:hAnsi="Calibri"/>
                <w:sz w:val="22"/>
              </w:rPr>
              <w:t>de</w:t>
            </w:r>
            <w:r>
              <w:rPr>
                <w:rFonts w:ascii="Calibri" w:hAnsi="Calibri"/>
                <w:spacing w:val="-1"/>
                <w:sz w:val="22"/>
              </w:rPr>
              <w:t> </w:t>
            </w:r>
            <w:r>
              <w:rPr>
                <w:rFonts w:ascii="Calibri" w:hAnsi="Calibri"/>
                <w:spacing w:val="-5"/>
                <w:sz w:val="22"/>
              </w:rPr>
              <w:t>las</w:t>
            </w:r>
          </w:p>
          <w:p>
            <w:pPr>
              <w:pStyle w:val="TableParagraph"/>
              <w:spacing w:line="247" w:lineRule="exact"/>
              <w:ind w:left="827"/>
              <w:rPr>
                <w:rFonts w:ascii="Calibri"/>
                <w:sz w:val="22"/>
              </w:rPr>
            </w:pPr>
            <w:r>
              <w:rPr>
                <w:rFonts w:ascii="Calibri"/>
                <w:sz w:val="22"/>
              </w:rPr>
              <w:t>transacciones</w:t>
            </w:r>
            <w:r>
              <w:rPr>
                <w:rFonts w:ascii="Calibri"/>
                <w:spacing w:val="-5"/>
                <w:sz w:val="22"/>
              </w:rPr>
              <w:t> </w:t>
            </w:r>
            <w:r>
              <w:rPr>
                <w:rFonts w:ascii="Calibri"/>
                <w:sz w:val="22"/>
              </w:rPr>
              <w:t>comerciales</w:t>
            </w:r>
            <w:r>
              <w:rPr>
                <w:rFonts w:ascii="Calibri"/>
                <w:spacing w:val="-4"/>
                <w:sz w:val="22"/>
              </w:rPr>
              <w:t> </w:t>
            </w:r>
            <w:r>
              <w:rPr>
                <w:rFonts w:ascii="Calibri"/>
                <w:sz w:val="22"/>
              </w:rPr>
              <w:t>en</w:t>
            </w:r>
            <w:r>
              <w:rPr>
                <w:rFonts w:ascii="Calibri"/>
                <w:spacing w:val="-4"/>
                <w:sz w:val="22"/>
              </w:rPr>
              <w:t> </w:t>
            </w:r>
            <w:r>
              <w:rPr>
                <w:rFonts w:ascii="Calibri"/>
                <w:sz w:val="22"/>
              </w:rPr>
              <w:t>su</w:t>
            </w:r>
            <w:r>
              <w:rPr>
                <w:rFonts w:ascii="Calibri"/>
                <w:spacing w:val="-5"/>
                <w:sz w:val="22"/>
              </w:rPr>
              <w:t> </w:t>
            </w:r>
            <w:r>
              <w:rPr>
                <w:rFonts w:ascii="Calibri"/>
                <w:spacing w:val="-2"/>
                <w:sz w:val="22"/>
              </w:rPr>
              <w:t>negocio?</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538" w:hRule="atLeast"/>
        </w:trPr>
        <w:tc>
          <w:tcPr>
            <w:tcW w:w="5665" w:type="dxa"/>
          </w:tcPr>
          <w:p>
            <w:pPr>
              <w:pStyle w:val="TableParagraph"/>
              <w:tabs>
                <w:tab w:pos="827" w:val="left" w:leader="none"/>
              </w:tabs>
              <w:ind w:left="467"/>
              <w:rPr>
                <w:rFonts w:ascii="Calibri" w:hAnsi="Calibri"/>
                <w:sz w:val="22"/>
              </w:rPr>
            </w:pPr>
            <w:r>
              <w:rPr>
                <w:rFonts w:ascii="Calibri" w:hAnsi="Calibri"/>
                <w:spacing w:val="-5"/>
                <w:sz w:val="18"/>
              </w:rPr>
              <w:t>3.</w:t>
            </w:r>
            <w:r>
              <w:rPr>
                <w:rFonts w:ascii="Calibri" w:hAnsi="Calibri"/>
                <w:sz w:val="18"/>
              </w:rPr>
              <w:tab/>
            </w:r>
            <w:r>
              <w:rPr>
                <w:rFonts w:ascii="Calibri" w:hAnsi="Calibri"/>
                <w:sz w:val="22"/>
              </w:rPr>
              <w:t>¿Considera</w:t>
            </w:r>
            <w:r>
              <w:rPr>
                <w:rFonts w:ascii="Calibri" w:hAnsi="Calibri"/>
                <w:spacing w:val="-2"/>
                <w:sz w:val="22"/>
              </w:rPr>
              <w:t> </w:t>
            </w:r>
            <w:r>
              <w:rPr>
                <w:rFonts w:ascii="Calibri" w:hAnsi="Calibri"/>
                <w:sz w:val="22"/>
              </w:rPr>
              <w:t>que</w:t>
            </w:r>
            <w:r>
              <w:rPr>
                <w:rFonts w:ascii="Calibri" w:hAnsi="Calibri"/>
                <w:spacing w:val="-2"/>
                <w:sz w:val="22"/>
              </w:rPr>
              <w:t> </w:t>
            </w:r>
            <w:r>
              <w:rPr>
                <w:rFonts w:ascii="Calibri" w:hAnsi="Calibri"/>
                <w:sz w:val="22"/>
              </w:rPr>
              <w:t>el</w:t>
            </w:r>
            <w:r>
              <w:rPr>
                <w:rFonts w:ascii="Calibri" w:hAnsi="Calibri"/>
                <w:spacing w:val="-2"/>
                <w:sz w:val="22"/>
              </w:rPr>
              <w:t> </w:t>
            </w:r>
            <w:r>
              <w:rPr>
                <w:rFonts w:ascii="Calibri" w:hAnsi="Calibri"/>
                <w:sz w:val="22"/>
              </w:rPr>
              <w:t>IGV</w:t>
            </w:r>
            <w:r>
              <w:rPr>
                <w:rFonts w:ascii="Calibri" w:hAnsi="Calibri"/>
                <w:spacing w:val="-2"/>
                <w:sz w:val="22"/>
              </w:rPr>
              <w:t> </w:t>
            </w:r>
            <w:r>
              <w:rPr>
                <w:rFonts w:ascii="Calibri" w:hAnsi="Calibri"/>
                <w:sz w:val="22"/>
              </w:rPr>
              <w:t>ha</w:t>
            </w:r>
            <w:r>
              <w:rPr>
                <w:rFonts w:ascii="Calibri" w:hAnsi="Calibri"/>
                <w:spacing w:val="-1"/>
                <w:sz w:val="22"/>
              </w:rPr>
              <w:t> </w:t>
            </w:r>
            <w:r>
              <w:rPr>
                <w:rFonts w:ascii="Calibri" w:hAnsi="Calibri"/>
                <w:sz w:val="22"/>
              </w:rPr>
              <w:t>influido</w:t>
            </w:r>
            <w:r>
              <w:rPr>
                <w:rFonts w:ascii="Calibri" w:hAnsi="Calibri"/>
                <w:spacing w:val="-2"/>
                <w:sz w:val="22"/>
              </w:rPr>
              <w:t> </w:t>
            </w:r>
            <w:r>
              <w:rPr>
                <w:rFonts w:ascii="Calibri" w:hAnsi="Calibri"/>
                <w:sz w:val="22"/>
              </w:rPr>
              <w:t>en</w:t>
            </w:r>
            <w:r>
              <w:rPr>
                <w:rFonts w:ascii="Calibri" w:hAnsi="Calibri"/>
                <w:spacing w:val="-1"/>
                <w:sz w:val="22"/>
              </w:rPr>
              <w:t> </w:t>
            </w:r>
            <w:r>
              <w:rPr>
                <w:rFonts w:ascii="Calibri" w:hAnsi="Calibri"/>
                <w:sz w:val="22"/>
              </w:rPr>
              <w:t>la</w:t>
            </w:r>
            <w:r>
              <w:rPr>
                <w:rFonts w:ascii="Calibri" w:hAnsi="Calibri"/>
                <w:spacing w:val="-3"/>
                <w:sz w:val="22"/>
              </w:rPr>
              <w:t> </w:t>
            </w:r>
            <w:r>
              <w:rPr>
                <w:rFonts w:ascii="Calibri" w:hAnsi="Calibri"/>
                <w:sz w:val="22"/>
              </w:rPr>
              <w:t>rotación</w:t>
            </w:r>
            <w:r>
              <w:rPr>
                <w:rFonts w:ascii="Calibri" w:hAnsi="Calibri"/>
                <w:spacing w:val="-1"/>
                <w:sz w:val="22"/>
              </w:rPr>
              <w:t> </w:t>
            </w:r>
            <w:r>
              <w:rPr>
                <w:rFonts w:ascii="Calibri" w:hAnsi="Calibri"/>
                <w:spacing w:val="-7"/>
                <w:sz w:val="22"/>
              </w:rPr>
              <w:t>de</w:t>
            </w:r>
          </w:p>
          <w:p>
            <w:pPr>
              <w:pStyle w:val="TableParagraph"/>
              <w:spacing w:line="247" w:lineRule="exact" w:before="2"/>
              <w:ind w:left="827"/>
              <w:rPr>
                <w:rFonts w:ascii="Calibri"/>
                <w:sz w:val="22"/>
              </w:rPr>
            </w:pPr>
            <w:r>
              <w:rPr>
                <w:rFonts w:ascii="Calibri"/>
                <w:sz w:val="22"/>
              </w:rPr>
              <w:t>productos</w:t>
            </w:r>
            <w:r>
              <w:rPr>
                <w:rFonts w:ascii="Calibri"/>
                <w:spacing w:val="-4"/>
                <w:sz w:val="22"/>
              </w:rPr>
              <w:t> </w:t>
            </w:r>
            <w:r>
              <w:rPr>
                <w:rFonts w:ascii="Calibri"/>
                <w:sz w:val="22"/>
              </w:rPr>
              <w:t>en</w:t>
            </w:r>
            <w:r>
              <w:rPr>
                <w:rFonts w:ascii="Calibri"/>
                <w:spacing w:val="-4"/>
                <w:sz w:val="22"/>
              </w:rPr>
              <w:t> </w:t>
            </w:r>
            <w:r>
              <w:rPr>
                <w:rFonts w:ascii="Calibri"/>
                <w:sz w:val="22"/>
              </w:rPr>
              <w:t>su</w:t>
            </w:r>
            <w:r>
              <w:rPr>
                <w:rFonts w:ascii="Calibri"/>
                <w:spacing w:val="-2"/>
                <w:sz w:val="22"/>
              </w:rPr>
              <w:t> establecimiento?</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267" w:hRule="atLeast"/>
        </w:trPr>
        <w:tc>
          <w:tcPr>
            <w:tcW w:w="5665" w:type="dxa"/>
            <w:shd w:val="clear" w:color="auto" w:fill="ADAAAA"/>
          </w:tcPr>
          <w:p>
            <w:pPr>
              <w:pStyle w:val="TableParagraph"/>
              <w:spacing w:line="247" w:lineRule="exact"/>
              <w:ind w:left="106"/>
              <w:rPr>
                <w:rFonts w:ascii="Calibri" w:hAnsi="Calibri"/>
                <w:b/>
                <w:sz w:val="22"/>
              </w:rPr>
            </w:pPr>
            <w:r>
              <w:rPr>
                <w:rFonts w:ascii="Calibri" w:hAnsi="Calibri"/>
                <w:b/>
                <w:sz w:val="22"/>
              </w:rPr>
              <w:t>Responsabilidad</w:t>
            </w:r>
            <w:r>
              <w:rPr>
                <w:rFonts w:ascii="Calibri" w:hAnsi="Calibri"/>
                <w:b/>
                <w:spacing w:val="-4"/>
                <w:sz w:val="22"/>
              </w:rPr>
              <w:t> </w:t>
            </w:r>
            <w:r>
              <w:rPr>
                <w:rFonts w:ascii="Calibri" w:hAnsi="Calibri"/>
                <w:b/>
                <w:spacing w:val="-2"/>
                <w:sz w:val="22"/>
              </w:rPr>
              <w:t>económica</w:t>
            </w:r>
          </w:p>
        </w:tc>
        <w:tc>
          <w:tcPr>
            <w:tcW w:w="568" w:type="dxa"/>
            <w:shd w:val="clear" w:color="auto" w:fill="ADAAAA"/>
          </w:tcPr>
          <w:p>
            <w:pPr>
              <w:pStyle w:val="TableParagraph"/>
              <w:rPr>
                <w:rFonts w:ascii="Times New Roman"/>
                <w:sz w:val="18"/>
              </w:rPr>
            </w:pPr>
          </w:p>
        </w:tc>
        <w:tc>
          <w:tcPr>
            <w:tcW w:w="567" w:type="dxa"/>
            <w:shd w:val="clear" w:color="auto" w:fill="ADAAAA"/>
          </w:tcPr>
          <w:p>
            <w:pPr>
              <w:pStyle w:val="TableParagraph"/>
              <w:rPr>
                <w:rFonts w:ascii="Times New Roman"/>
                <w:sz w:val="18"/>
              </w:rPr>
            </w:pPr>
          </w:p>
        </w:tc>
        <w:tc>
          <w:tcPr>
            <w:tcW w:w="614" w:type="dxa"/>
            <w:shd w:val="clear" w:color="auto" w:fill="ADAAAA"/>
          </w:tcPr>
          <w:p>
            <w:pPr>
              <w:pStyle w:val="TableParagraph"/>
              <w:rPr>
                <w:rFonts w:ascii="Times New Roman"/>
                <w:sz w:val="18"/>
              </w:rPr>
            </w:pPr>
          </w:p>
        </w:tc>
        <w:tc>
          <w:tcPr>
            <w:tcW w:w="540" w:type="dxa"/>
            <w:shd w:val="clear" w:color="auto" w:fill="ADAAAA"/>
          </w:tcPr>
          <w:p>
            <w:pPr>
              <w:pStyle w:val="TableParagraph"/>
              <w:rPr>
                <w:rFonts w:ascii="Times New Roman"/>
                <w:sz w:val="18"/>
              </w:rPr>
            </w:pPr>
          </w:p>
        </w:tc>
        <w:tc>
          <w:tcPr>
            <w:tcW w:w="542" w:type="dxa"/>
            <w:shd w:val="clear" w:color="auto" w:fill="ADAAAA"/>
          </w:tcPr>
          <w:p>
            <w:pPr>
              <w:pStyle w:val="TableParagraph"/>
              <w:rPr>
                <w:rFonts w:ascii="Times New Roman"/>
                <w:sz w:val="18"/>
              </w:rPr>
            </w:pPr>
          </w:p>
        </w:tc>
      </w:tr>
      <w:tr>
        <w:trPr>
          <w:trHeight w:val="538" w:hRule="atLeast"/>
        </w:trPr>
        <w:tc>
          <w:tcPr>
            <w:tcW w:w="5665" w:type="dxa"/>
          </w:tcPr>
          <w:p>
            <w:pPr>
              <w:pStyle w:val="TableParagraph"/>
              <w:tabs>
                <w:tab w:pos="827" w:val="left" w:leader="none"/>
              </w:tabs>
              <w:spacing w:line="270" w:lineRule="atLeast"/>
              <w:ind w:left="827" w:right="103" w:hanging="360"/>
              <w:rPr>
                <w:rFonts w:ascii="Calibri" w:hAnsi="Calibri"/>
                <w:sz w:val="22"/>
              </w:rPr>
            </w:pPr>
            <w:r>
              <w:rPr>
                <w:rFonts w:ascii="Calibri" w:hAnsi="Calibri"/>
                <w:spacing w:val="-6"/>
                <w:sz w:val="18"/>
              </w:rPr>
              <w:t>4.</w:t>
            </w:r>
            <w:r>
              <w:rPr>
                <w:rFonts w:ascii="Calibri" w:hAnsi="Calibri"/>
                <w:sz w:val="18"/>
              </w:rPr>
              <w:tab/>
            </w:r>
            <w:r>
              <w:rPr>
                <w:rFonts w:ascii="Calibri" w:hAnsi="Calibri"/>
                <w:sz w:val="22"/>
              </w:rPr>
              <w:t>¿Cumple</w:t>
            </w:r>
            <w:r>
              <w:rPr>
                <w:rFonts w:ascii="Calibri" w:hAnsi="Calibri"/>
                <w:spacing w:val="-5"/>
                <w:sz w:val="22"/>
              </w:rPr>
              <w:t> </w:t>
            </w:r>
            <w:r>
              <w:rPr>
                <w:rFonts w:ascii="Calibri" w:hAnsi="Calibri"/>
                <w:sz w:val="22"/>
              </w:rPr>
              <w:t>de</w:t>
            </w:r>
            <w:r>
              <w:rPr>
                <w:rFonts w:ascii="Calibri" w:hAnsi="Calibri"/>
                <w:spacing w:val="-5"/>
                <w:sz w:val="22"/>
              </w:rPr>
              <w:t> </w:t>
            </w:r>
            <w:r>
              <w:rPr>
                <w:rFonts w:ascii="Calibri" w:hAnsi="Calibri"/>
                <w:sz w:val="22"/>
              </w:rPr>
              <w:t>manera</w:t>
            </w:r>
            <w:r>
              <w:rPr>
                <w:rFonts w:ascii="Calibri" w:hAnsi="Calibri"/>
                <w:spacing w:val="-6"/>
                <w:sz w:val="22"/>
              </w:rPr>
              <w:t> </w:t>
            </w:r>
            <w:r>
              <w:rPr>
                <w:rFonts w:ascii="Calibri" w:hAnsi="Calibri"/>
                <w:sz w:val="22"/>
              </w:rPr>
              <w:t>oportuna</w:t>
            </w:r>
            <w:r>
              <w:rPr>
                <w:rFonts w:ascii="Calibri" w:hAnsi="Calibri"/>
                <w:spacing w:val="-5"/>
                <w:sz w:val="22"/>
              </w:rPr>
              <w:t> </w:t>
            </w:r>
            <w:r>
              <w:rPr>
                <w:rFonts w:ascii="Calibri" w:hAnsi="Calibri"/>
                <w:sz w:val="22"/>
              </w:rPr>
              <w:t>con</w:t>
            </w:r>
            <w:r>
              <w:rPr>
                <w:rFonts w:ascii="Calibri" w:hAnsi="Calibri"/>
                <w:spacing w:val="-5"/>
                <w:sz w:val="22"/>
              </w:rPr>
              <w:t> </w:t>
            </w:r>
            <w:r>
              <w:rPr>
                <w:rFonts w:ascii="Calibri" w:hAnsi="Calibri"/>
                <w:sz w:val="22"/>
              </w:rPr>
              <w:t>el</w:t>
            </w:r>
            <w:r>
              <w:rPr>
                <w:rFonts w:ascii="Calibri" w:hAnsi="Calibri"/>
                <w:spacing w:val="-5"/>
                <w:sz w:val="22"/>
              </w:rPr>
              <w:t> </w:t>
            </w:r>
            <w:r>
              <w:rPr>
                <w:rFonts w:ascii="Calibri" w:hAnsi="Calibri"/>
                <w:sz w:val="22"/>
              </w:rPr>
              <w:t>pago</w:t>
            </w:r>
            <w:r>
              <w:rPr>
                <w:rFonts w:ascii="Calibri" w:hAnsi="Calibri"/>
                <w:spacing w:val="-5"/>
                <w:sz w:val="22"/>
              </w:rPr>
              <w:t> </w:t>
            </w:r>
            <w:r>
              <w:rPr>
                <w:rFonts w:ascii="Calibri" w:hAnsi="Calibri"/>
                <w:sz w:val="22"/>
              </w:rPr>
              <w:t>del</w:t>
            </w:r>
            <w:r>
              <w:rPr>
                <w:rFonts w:ascii="Calibri" w:hAnsi="Calibri"/>
                <w:spacing w:val="-5"/>
                <w:sz w:val="22"/>
              </w:rPr>
              <w:t> </w:t>
            </w:r>
            <w:r>
              <w:rPr>
                <w:rFonts w:ascii="Calibri" w:hAnsi="Calibri"/>
                <w:sz w:val="22"/>
              </w:rPr>
              <w:t>IGV</w:t>
            </w:r>
            <w:r>
              <w:rPr>
                <w:rFonts w:ascii="Calibri" w:hAnsi="Calibri"/>
                <w:spacing w:val="-6"/>
                <w:sz w:val="22"/>
              </w:rPr>
              <w:t> </w:t>
            </w:r>
            <w:r>
              <w:rPr>
                <w:rFonts w:ascii="Calibri" w:hAnsi="Calibri"/>
                <w:sz w:val="22"/>
              </w:rPr>
              <w:t>en su negocio?</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535" w:hRule="atLeast"/>
        </w:trPr>
        <w:tc>
          <w:tcPr>
            <w:tcW w:w="5665" w:type="dxa"/>
          </w:tcPr>
          <w:p>
            <w:pPr>
              <w:pStyle w:val="TableParagraph"/>
              <w:tabs>
                <w:tab w:pos="827" w:val="left" w:leader="none"/>
              </w:tabs>
              <w:spacing w:line="267" w:lineRule="exact"/>
              <w:ind w:left="467"/>
              <w:rPr>
                <w:rFonts w:ascii="Calibri" w:hAnsi="Calibri"/>
                <w:sz w:val="22"/>
              </w:rPr>
            </w:pPr>
            <w:r>
              <w:rPr>
                <w:rFonts w:ascii="Calibri" w:hAnsi="Calibri"/>
                <w:spacing w:val="-5"/>
                <w:sz w:val="18"/>
              </w:rPr>
              <w:t>5.</w:t>
            </w:r>
            <w:r>
              <w:rPr>
                <w:rFonts w:ascii="Calibri" w:hAnsi="Calibri"/>
                <w:sz w:val="18"/>
              </w:rPr>
              <w:tab/>
            </w:r>
            <w:r>
              <w:rPr>
                <w:rFonts w:ascii="Calibri" w:hAnsi="Calibri"/>
                <w:sz w:val="22"/>
              </w:rPr>
              <w:t>¿Cree</w:t>
            </w:r>
            <w:r>
              <w:rPr>
                <w:rFonts w:ascii="Calibri" w:hAnsi="Calibri"/>
                <w:spacing w:val="-4"/>
                <w:sz w:val="22"/>
              </w:rPr>
              <w:t> </w:t>
            </w:r>
            <w:r>
              <w:rPr>
                <w:rFonts w:ascii="Calibri" w:hAnsi="Calibri"/>
                <w:sz w:val="22"/>
              </w:rPr>
              <w:t>que</w:t>
            </w:r>
            <w:r>
              <w:rPr>
                <w:rFonts w:ascii="Calibri" w:hAnsi="Calibri"/>
                <w:spacing w:val="-3"/>
                <w:sz w:val="22"/>
              </w:rPr>
              <w:t> </w:t>
            </w:r>
            <w:r>
              <w:rPr>
                <w:rFonts w:ascii="Calibri" w:hAnsi="Calibri"/>
                <w:sz w:val="22"/>
              </w:rPr>
              <w:t>el</w:t>
            </w:r>
            <w:r>
              <w:rPr>
                <w:rFonts w:ascii="Calibri" w:hAnsi="Calibri"/>
                <w:spacing w:val="-1"/>
                <w:sz w:val="22"/>
              </w:rPr>
              <w:t> </w:t>
            </w:r>
            <w:r>
              <w:rPr>
                <w:rFonts w:ascii="Calibri" w:hAnsi="Calibri"/>
                <w:sz w:val="22"/>
              </w:rPr>
              <w:t>pago</w:t>
            </w:r>
            <w:r>
              <w:rPr>
                <w:rFonts w:ascii="Calibri" w:hAnsi="Calibri"/>
                <w:spacing w:val="-4"/>
                <w:sz w:val="22"/>
              </w:rPr>
              <w:t> </w:t>
            </w:r>
            <w:r>
              <w:rPr>
                <w:rFonts w:ascii="Calibri" w:hAnsi="Calibri"/>
                <w:sz w:val="22"/>
              </w:rPr>
              <w:t>del</w:t>
            </w:r>
            <w:r>
              <w:rPr>
                <w:rFonts w:ascii="Calibri" w:hAnsi="Calibri"/>
                <w:spacing w:val="-1"/>
                <w:sz w:val="22"/>
              </w:rPr>
              <w:t> </w:t>
            </w:r>
            <w:r>
              <w:rPr>
                <w:rFonts w:ascii="Calibri" w:hAnsi="Calibri"/>
                <w:sz w:val="22"/>
              </w:rPr>
              <w:t>IGV</w:t>
            </w:r>
            <w:r>
              <w:rPr>
                <w:rFonts w:ascii="Calibri" w:hAnsi="Calibri"/>
                <w:spacing w:val="-2"/>
                <w:sz w:val="22"/>
              </w:rPr>
              <w:t> </w:t>
            </w:r>
            <w:r>
              <w:rPr>
                <w:rFonts w:ascii="Calibri" w:hAnsi="Calibri"/>
                <w:sz w:val="22"/>
              </w:rPr>
              <w:t>ha</w:t>
            </w:r>
            <w:r>
              <w:rPr>
                <w:rFonts w:ascii="Calibri" w:hAnsi="Calibri"/>
                <w:spacing w:val="-2"/>
                <w:sz w:val="22"/>
              </w:rPr>
              <w:t> </w:t>
            </w:r>
            <w:r>
              <w:rPr>
                <w:rFonts w:ascii="Calibri" w:hAnsi="Calibri"/>
                <w:sz w:val="22"/>
              </w:rPr>
              <w:t>contribuido</w:t>
            </w:r>
            <w:r>
              <w:rPr>
                <w:rFonts w:ascii="Calibri" w:hAnsi="Calibri"/>
                <w:spacing w:val="-2"/>
                <w:sz w:val="22"/>
              </w:rPr>
              <w:t> </w:t>
            </w:r>
            <w:r>
              <w:rPr>
                <w:rFonts w:ascii="Calibri" w:hAnsi="Calibri"/>
                <w:sz w:val="22"/>
              </w:rPr>
              <w:t>a </w:t>
            </w:r>
            <w:r>
              <w:rPr>
                <w:rFonts w:ascii="Calibri" w:hAnsi="Calibri"/>
                <w:spacing w:val="-5"/>
                <w:sz w:val="22"/>
              </w:rPr>
              <w:t>la</w:t>
            </w:r>
          </w:p>
          <w:p>
            <w:pPr>
              <w:pStyle w:val="TableParagraph"/>
              <w:spacing w:line="247" w:lineRule="exact"/>
              <w:ind w:left="827"/>
              <w:rPr>
                <w:rFonts w:ascii="Calibri" w:hAnsi="Calibri"/>
                <w:sz w:val="22"/>
              </w:rPr>
            </w:pPr>
            <w:r>
              <w:rPr>
                <w:rFonts w:ascii="Calibri" w:hAnsi="Calibri"/>
                <w:sz w:val="22"/>
              </w:rPr>
              <w:t>formalización</w:t>
            </w:r>
            <w:r>
              <w:rPr>
                <w:rFonts w:ascii="Calibri" w:hAnsi="Calibri"/>
                <w:spacing w:val="-3"/>
                <w:sz w:val="22"/>
              </w:rPr>
              <w:t> </w:t>
            </w:r>
            <w:r>
              <w:rPr>
                <w:rFonts w:ascii="Calibri" w:hAnsi="Calibri"/>
                <w:sz w:val="22"/>
              </w:rPr>
              <w:t>de</w:t>
            </w:r>
            <w:r>
              <w:rPr>
                <w:rFonts w:ascii="Calibri" w:hAnsi="Calibri"/>
                <w:spacing w:val="-2"/>
                <w:sz w:val="22"/>
              </w:rPr>
              <w:t> </w:t>
            </w:r>
            <w:r>
              <w:rPr>
                <w:rFonts w:ascii="Calibri" w:hAnsi="Calibri"/>
                <w:sz w:val="22"/>
              </w:rPr>
              <w:t>su</w:t>
            </w:r>
            <w:r>
              <w:rPr>
                <w:rFonts w:ascii="Calibri" w:hAnsi="Calibri"/>
                <w:spacing w:val="-3"/>
                <w:sz w:val="22"/>
              </w:rPr>
              <w:t> </w:t>
            </w:r>
            <w:r>
              <w:rPr>
                <w:rFonts w:ascii="Calibri" w:hAnsi="Calibri"/>
                <w:spacing w:val="-2"/>
                <w:sz w:val="22"/>
              </w:rPr>
              <w:t>negocio?</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538" w:hRule="atLeast"/>
        </w:trPr>
        <w:tc>
          <w:tcPr>
            <w:tcW w:w="5665" w:type="dxa"/>
          </w:tcPr>
          <w:p>
            <w:pPr>
              <w:pStyle w:val="TableParagraph"/>
              <w:tabs>
                <w:tab w:pos="827" w:val="left" w:leader="none"/>
              </w:tabs>
              <w:ind w:left="467"/>
              <w:rPr>
                <w:rFonts w:ascii="Calibri" w:hAnsi="Calibri"/>
                <w:sz w:val="22"/>
              </w:rPr>
            </w:pPr>
            <w:r>
              <w:rPr>
                <w:rFonts w:ascii="Calibri" w:hAnsi="Calibri"/>
                <w:spacing w:val="-5"/>
                <w:sz w:val="18"/>
              </w:rPr>
              <w:t>6.</w:t>
            </w:r>
            <w:r>
              <w:rPr>
                <w:rFonts w:ascii="Calibri" w:hAnsi="Calibri"/>
                <w:sz w:val="18"/>
              </w:rPr>
              <w:tab/>
            </w:r>
            <w:r>
              <w:rPr>
                <w:rFonts w:ascii="Calibri" w:hAnsi="Calibri"/>
                <w:sz w:val="22"/>
              </w:rPr>
              <w:t>¿Percibe</w:t>
            </w:r>
            <w:r>
              <w:rPr>
                <w:rFonts w:ascii="Calibri" w:hAnsi="Calibri"/>
                <w:spacing w:val="-2"/>
                <w:sz w:val="22"/>
              </w:rPr>
              <w:t> </w:t>
            </w:r>
            <w:r>
              <w:rPr>
                <w:rFonts w:ascii="Calibri" w:hAnsi="Calibri"/>
                <w:sz w:val="22"/>
              </w:rPr>
              <w:t>que</w:t>
            </w:r>
            <w:r>
              <w:rPr>
                <w:rFonts w:ascii="Calibri" w:hAnsi="Calibri"/>
                <w:spacing w:val="-2"/>
                <w:sz w:val="22"/>
              </w:rPr>
              <w:t> </w:t>
            </w:r>
            <w:r>
              <w:rPr>
                <w:rFonts w:ascii="Calibri" w:hAnsi="Calibri"/>
                <w:sz w:val="22"/>
              </w:rPr>
              <w:t>el</w:t>
            </w:r>
            <w:r>
              <w:rPr>
                <w:rFonts w:ascii="Calibri" w:hAnsi="Calibri"/>
                <w:spacing w:val="-1"/>
                <w:sz w:val="22"/>
              </w:rPr>
              <w:t> </w:t>
            </w:r>
            <w:r>
              <w:rPr>
                <w:rFonts w:ascii="Calibri" w:hAnsi="Calibri"/>
                <w:sz w:val="22"/>
              </w:rPr>
              <w:t>sistema</w:t>
            </w:r>
            <w:r>
              <w:rPr>
                <w:rFonts w:ascii="Calibri" w:hAnsi="Calibri"/>
                <w:spacing w:val="-2"/>
                <w:sz w:val="22"/>
              </w:rPr>
              <w:t> </w:t>
            </w:r>
            <w:r>
              <w:rPr>
                <w:rFonts w:ascii="Calibri" w:hAnsi="Calibri"/>
                <w:sz w:val="22"/>
              </w:rPr>
              <w:t>tributario</w:t>
            </w:r>
            <w:r>
              <w:rPr>
                <w:rFonts w:ascii="Calibri" w:hAnsi="Calibri"/>
                <w:spacing w:val="-2"/>
                <w:sz w:val="22"/>
              </w:rPr>
              <w:t> </w:t>
            </w:r>
            <w:r>
              <w:rPr>
                <w:rFonts w:ascii="Calibri" w:hAnsi="Calibri"/>
                <w:sz w:val="22"/>
              </w:rPr>
              <w:t>del</w:t>
            </w:r>
            <w:r>
              <w:rPr>
                <w:rFonts w:ascii="Calibri" w:hAnsi="Calibri"/>
                <w:spacing w:val="-2"/>
                <w:sz w:val="22"/>
              </w:rPr>
              <w:t> </w:t>
            </w:r>
            <w:r>
              <w:rPr>
                <w:rFonts w:ascii="Calibri" w:hAnsi="Calibri"/>
                <w:sz w:val="22"/>
              </w:rPr>
              <w:t>IGV</w:t>
            </w:r>
            <w:r>
              <w:rPr>
                <w:rFonts w:ascii="Calibri" w:hAnsi="Calibri"/>
                <w:spacing w:val="-3"/>
                <w:sz w:val="22"/>
              </w:rPr>
              <w:t> </w:t>
            </w:r>
            <w:r>
              <w:rPr>
                <w:rFonts w:ascii="Calibri" w:hAnsi="Calibri"/>
                <w:spacing w:val="-5"/>
                <w:sz w:val="22"/>
              </w:rPr>
              <w:t>es</w:t>
            </w:r>
          </w:p>
          <w:p>
            <w:pPr>
              <w:pStyle w:val="TableParagraph"/>
              <w:spacing w:line="247" w:lineRule="exact" w:before="2"/>
              <w:ind w:left="827"/>
              <w:rPr>
                <w:rFonts w:ascii="Calibri"/>
                <w:sz w:val="22"/>
              </w:rPr>
            </w:pPr>
            <w:r>
              <w:rPr>
                <w:rFonts w:ascii="Calibri"/>
                <w:sz w:val="22"/>
              </w:rPr>
              <w:t>equitativo</w:t>
            </w:r>
            <w:r>
              <w:rPr>
                <w:rFonts w:ascii="Calibri"/>
                <w:spacing w:val="-4"/>
                <w:sz w:val="22"/>
              </w:rPr>
              <w:t> </w:t>
            </w:r>
            <w:r>
              <w:rPr>
                <w:rFonts w:ascii="Calibri"/>
                <w:sz w:val="22"/>
              </w:rPr>
              <w:t>para</w:t>
            </w:r>
            <w:r>
              <w:rPr>
                <w:rFonts w:ascii="Calibri"/>
                <w:spacing w:val="-2"/>
                <w:sz w:val="22"/>
              </w:rPr>
              <w:t> </w:t>
            </w:r>
            <w:r>
              <w:rPr>
                <w:rFonts w:ascii="Calibri"/>
                <w:sz w:val="22"/>
              </w:rPr>
              <w:t>los</w:t>
            </w:r>
            <w:r>
              <w:rPr>
                <w:rFonts w:ascii="Calibri"/>
                <w:spacing w:val="-3"/>
                <w:sz w:val="22"/>
              </w:rPr>
              <w:t> </w:t>
            </w:r>
            <w:r>
              <w:rPr>
                <w:rFonts w:ascii="Calibri"/>
                <w:spacing w:val="-2"/>
                <w:sz w:val="22"/>
              </w:rPr>
              <w:t>comerciantes?</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267" w:hRule="atLeast"/>
        </w:trPr>
        <w:tc>
          <w:tcPr>
            <w:tcW w:w="5665" w:type="dxa"/>
            <w:shd w:val="clear" w:color="auto" w:fill="ADAAAA"/>
          </w:tcPr>
          <w:p>
            <w:pPr>
              <w:pStyle w:val="TableParagraph"/>
              <w:spacing w:line="247" w:lineRule="exact"/>
              <w:ind w:left="106"/>
              <w:rPr>
                <w:rFonts w:ascii="Calibri" w:hAnsi="Calibri"/>
                <w:b/>
                <w:sz w:val="22"/>
              </w:rPr>
            </w:pPr>
            <w:r>
              <w:rPr>
                <w:rFonts w:ascii="Calibri" w:hAnsi="Calibri"/>
                <w:b/>
                <w:sz w:val="22"/>
              </w:rPr>
              <w:t>Crecimiento</w:t>
            </w:r>
            <w:r>
              <w:rPr>
                <w:rFonts w:ascii="Calibri" w:hAnsi="Calibri"/>
                <w:b/>
                <w:spacing w:val="-9"/>
                <w:sz w:val="22"/>
              </w:rPr>
              <w:t> </w:t>
            </w:r>
            <w:r>
              <w:rPr>
                <w:rFonts w:ascii="Calibri" w:hAnsi="Calibri"/>
                <w:b/>
                <w:spacing w:val="-2"/>
                <w:sz w:val="22"/>
              </w:rPr>
              <w:t>económico</w:t>
            </w:r>
          </w:p>
        </w:tc>
        <w:tc>
          <w:tcPr>
            <w:tcW w:w="568" w:type="dxa"/>
            <w:shd w:val="clear" w:color="auto" w:fill="ADAAAA"/>
          </w:tcPr>
          <w:p>
            <w:pPr>
              <w:pStyle w:val="TableParagraph"/>
              <w:rPr>
                <w:rFonts w:ascii="Times New Roman"/>
                <w:sz w:val="18"/>
              </w:rPr>
            </w:pPr>
          </w:p>
        </w:tc>
        <w:tc>
          <w:tcPr>
            <w:tcW w:w="567" w:type="dxa"/>
            <w:shd w:val="clear" w:color="auto" w:fill="ADAAAA"/>
          </w:tcPr>
          <w:p>
            <w:pPr>
              <w:pStyle w:val="TableParagraph"/>
              <w:rPr>
                <w:rFonts w:ascii="Times New Roman"/>
                <w:sz w:val="18"/>
              </w:rPr>
            </w:pPr>
          </w:p>
        </w:tc>
        <w:tc>
          <w:tcPr>
            <w:tcW w:w="614" w:type="dxa"/>
            <w:shd w:val="clear" w:color="auto" w:fill="ADAAAA"/>
          </w:tcPr>
          <w:p>
            <w:pPr>
              <w:pStyle w:val="TableParagraph"/>
              <w:rPr>
                <w:rFonts w:ascii="Times New Roman"/>
                <w:sz w:val="18"/>
              </w:rPr>
            </w:pPr>
          </w:p>
        </w:tc>
        <w:tc>
          <w:tcPr>
            <w:tcW w:w="540" w:type="dxa"/>
            <w:shd w:val="clear" w:color="auto" w:fill="ADAAAA"/>
          </w:tcPr>
          <w:p>
            <w:pPr>
              <w:pStyle w:val="TableParagraph"/>
              <w:rPr>
                <w:rFonts w:ascii="Times New Roman"/>
                <w:sz w:val="18"/>
              </w:rPr>
            </w:pPr>
          </w:p>
        </w:tc>
        <w:tc>
          <w:tcPr>
            <w:tcW w:w="542" w:type="dxa"/>
            <w:shd w:val="clear" w:color="auto" w:fill="ADAAAA"/>
          </w:tcPr>
          <w:p>
            <w:pPr>
              <w:pStyle w:val="TableParagraph"/>
              <w:rPr>
                <w:rFonts w:ascii="Times New Roman"/>
                <w:sz w:val="18"/>
              </w:rPr>
            </w:pPr>
          </w:p>
        </w:tc>
      </w:tr>
      <w:tr>
        <w:trPr>
          <w:trHeight w:val="537" w:hRule="atLeast"/>
        </w:trPr>
        <w:tc>
          <w:tcPr>
            <w:tcW w:w="5665" w:type="dxa"/>
          </w:tcPr>
          <w:p>
            <w:pPr>
              <w:pStyle w:val="TableParagraph"/>
              <w:tabs>
                <w:tab w:pos="827" w:val="left" w:leader="none"/>
              </w:tabs>
              <w:spacing w:line="268" w:lineRule="exact"/>
              <w:ind w:left="467"/>
              <w:rPr>
                <w:rFonts w:ascii="Calibri" w:hAnsi="Calibri"/>
                <w:sz w:val="22"/>
              </w:rPr>
            </w:pPr>
            <w:r>
              <w:rPr>
                <w:rFonts w:ascii="Calibri" w:hAnsi="Calibri"/>
                <w:spacing w:val="-5"/>
                <w:sz w:val="18"/>
              </w:rPr>
              <w:t>7.</w:t>
            </w:r>
            <w:r>
              <w:rPr>
                <w:rFonts w:ascii="Calibri" w:hAnsi="Calibri"/>
                <w:sz w:val="18"/>
              </w:rPr>
              <w:tab/>
            </w:r>
            <w:r>
              <w:rPr>
                <w:rFonts w:ascii="Calibri" w:hAnsi="Calibri"/>
                <w:sz w:val="22"/>
              </w:rPr>
              <w:t>¿Considera</w:t>
            </w:r>
            <w:r>
              <w:rPr>
                <w:rFonts w:ascii="Calibri" w:hAnsi="Calibri"/>
                <w:spacing w:val="-3"/>
                <w:sz w:val="22"/>
              </w:rPr>
              <w:t> </w:t>
            </w:r>
            <w:r>
              <w:rPr>
                <w:rFonts w:ascii="Calibri" w:hAnsi="Calibri"/>
                <w:sz w:val="22"/>
              </w:rPr>
              <w:t>que</w:t>
            </w:r>
            <w:r>
              <w:rPr>
                <w:rFonts w:ascii="Calibri" w:hAnsi="Calibri"/>
                <w:spacing w:val="-2"/>
                <w:sz w:val="22"/>
              </w:rPr>
              <w:t> </w:t>
            </w:r>
            <w:r>
              <w:rPr>
                <w:rFonts w:ascii="Calibri" w:hAnsi="Calibri"/>
                <w:sz w:val="22"/>
              </w:rPr>
              <w:t>ha</w:t>
            </w:r>
            <w:r>
              <w:rPr>
                <w:rFonts w:ascii="Calibri" w:hAnsi="Calibri"/>
                <w:spacing w:val="-2"/>
                <w:sz w:val="22"/>
              </w:rPr>
              <w:t> </w:t>
            </w:r>
            <w:r>
              <w:rPr>
                <w:rFonts w:ascii="Calibri" w:hAnsi="Calibri"/>
                <w:sz w:val="22"/>
              </w:rPr>
              <w:t>tenido</w:t>
            </w:r>
            <w:r>
              <w:rPr>
                <w:rFonts w:ascii="Calibri" w:hAnsi="Calibri"/>
                <w:spacing w:val="-3"/>
                <w:sz w:val="22"/>
              </w:rPr>
              <w:t> </w:t>
            </w:r>
            <w:r>
              <w:rPr>
                <w:rFonts w:ascii="Calibri" w:hAnsi="Calibri"/>
                <w:sz w:val="22"/>
              </w:rPr>
              <w:t>la</w:t>
            </w:r>
            <w:r>
              <w:rPr>
                <w:rFonts w:ascii="Calibri" w:hAnsi="Calibri"/>
                <w:spacing w:val="-3"/>
                <w:sz w:val="22"/>
              </w:rPr>
              <w:t> </w:t>
            </w:r>
            <w:r>
              <w:rPr>
                <w:rFonts w:ascii="Calibri" w:hAnsi="Calibri"/>
                <w:sz w:val="22"/>
              </w:rPr>
              <w:t>capacidad</w:t>
            </w:r>
            <w:r>
              <w:rPr>
                <w:rFonts w:ascii="Calibri" w:hAnsi="Calibri"/>
                <w:spacing w:val="-2"/>
                <w:sz w:val="22"/>
              </w:rPr>
              <w:t> </w:t>
            </w:r>
            <w:r>
              <w:rPr>
                <w:rFonts w:ascii="Calibri" w:hAnsi="Calibri"/>
                <w:sz w:val="22"/>
              </w:rPr>
              <w:t>de</w:t>
            </w:r>
            <w:r>
              <w:rPr>
                <w:rFonts w:ascii="Calibri" w:hAnsi="Calibri"/>
                <w:spacing w:val="-3"/>
                <w:sz w:val="22"/>
              </w:rPr>
              <w:t> </w:t>
            </w:r>
            <w:r>
              <w:rPr>
                <w:rFonts w:ascii="Calibri" w:hAnsi="Calibri"/>
                <w:spacing w:val="-2"/>
                <w:sz w:val="22"/>
              </w:rPr>
              <w:t>expandir</w:t>
            </w:r>
          </w:p>
          <w:p>
            <w:pPr>
              <w:pStyle w:val="TableParagraph"/>
              <w:spacing w:line="249" w:lineRule="exact"/>
              <w:ind w:left="827"/>
              <w:rPr>
                <w:rFonts w:ascii="Calibri"/>
                <w:sz w:val="22"/>
              </w:rPr>
            </w:pPr>
            <w:r>
              <w:rPr>
                <w:rFonts w:ascii="Calibri"/>
                <w:sz w:val="22"/>
              </w:rPr>
              <w:t>su</w:t>
            </w:r>
            <w:r>
              <w:rPr>
                <w:rFonts w:ascii="Calibri"/>
                <w:spacing w:val="-3"/>
                <w:sz w:val="22"/>
              </w:rPr>
              <w:t> </w:t>
            </w:r>
            <w:r>
              <w:rPr>
                <w:rFonts w:ascii="Calibri"/>
                <w:sz w:val="22"/>
              </w:rPr>
              <w:t>negocio</w:t>
            </w:r>
            <w:r>
              <w:rPr>
                <w:rFonts w:ascii="Calibri"/>
                <w:spacing w:val="-4"/>
                <w:sz w:val="22"/>
              </w:rPr>
              <w:t> </w:t>
            </w:r>
            <w:r>
              <w:rPr>
                <w:rFonts w:ascii="Calibri"/>
                <w:sz w:val="22"/>
              </w:rPr>
              <w:t>tras</w:t>
            </w:r>
            <w:r>
              <w:rPr>
                <w:rFonts w:ascii="Calibri"/>
                <w:spacing w:val="-3"/>
                <w:sz w:val="22"/>
              </w:rPr>
              <w:t> </w:t>
            </w:r>
            <w:r>
              <w:rPr>
                <w:rFonts w:ascii="Calibri"/>
                <w:sz w:val="22"/>
              </w:rPr>
              <w:t>cumplir</w:t>
            </w:r>
            <w:r>
              <w:rPr>
                <w:rFonts w:ascii="Calibri"/>
                <w:spacing w:val="-3"/>
                <w:sz w:val="22"/>
              </w:rPr>
              <w:t> </w:t>
            </w:r>
            <w:r>
              <w:rPr>
                <w:rFonts w:ascii="Calibri"/>
                <w:sz w:val="22"/>
              </w:rPr>
              <w:t>con</w:t>
            </w:r>
            <w:r>
              <w:rPr>
                <w:rFonts w:ascii="Calibri"/>
                <w:spacing w:val="-2"/>
                <w:sz w:val="22"/>
              </w:rPr>
              <w:t> </w:t>
            </w:r>
            <w:r>
              <w:rPr>
                <w:rFonts w:ascii="Calibri"/>
                <w:sz w:val="22"/>
              </w:rPr>
              <w:t>las</w:t>
            </w:r>
            <w:r>
              <w:rPr>
                <w:rFonts w:ascii="Calibri"/>
                <w:spacing w:val="-3"/>
                <w:sz w:val="22"/>
              </w:rPr>
              <w:t> </w:t>
            </w:r>
            <w:r>
              <w:rPr>
                <w:rFonts w:ascii="Calibri"/>
                <w:sz w:val="22"/>
              </w:rPr>
              <w:t>obligaciones</w:t>
            </w:r>
            <w:r>
              <w:rPr>
                <w:rFonts w:ascii="Calibri"/>
                <w:spacing w:val="-4"/>
                <w:sz w:val="22"/>
              </w:rPr>
              <w:t> </w:t>
            </w:r>
            <w:r>
              <w:rPr>
                <w:rFonts w:ascii="Calibri"/>
                <w:sz w:val="22"/>
              </w:rPr>
              <w:t>del</w:t>
            </w:r>
            <w:r>
              <w:rPr>
                <w:rFonts w:ascii="Calibri"/>
                <w:spacing w:val="-2"/>
                <w:sz w:val="22"/>
              </w:rPr>
              <w:t> </w:t>
            </w:r>
            <w:r>
              <w:rPr>
                <w:rFonts w:ascii="Calibri"/>
                <w:spacing w:val="-4"/>
                <w:sz w:val="22"/>
              </w:rPr>
              <w:t>IGV?</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536" w:hRule="atLeast"/>
        </w:trPr>
        <w:tc>
          <w:tcPr>
            <w:tcW w:w="5665" w:type="dxa"/>
          </w:tcPr>
          <w:p>
            <w:pPr>
              <w:pStyle w:val="TableParagraph"/>
              <w:tabs>
                <w:tab w:pos="827" w:val="left" w:leader="none"/>
              </w:tabs>
              <w:spacing w:line="268" w:lineRule="exact"/>
              <w:ind w:left="467"/>
              <w:rPr>
                <w:rFonts w:ascii="Calibri" w:hAnsi="Calibri"/>
                <w:sz w:val="22"/>
              </w:rPr>
            </w:pPr>
            <w:r>
              <w:rPr>
                <w:rFonts w:ascii="Calibri" w:hAnsi="Calibri"/>
                <w:spacing w:val="-5"/>
                <w:sz w:val="18"/>
              </w:rPr>
              <w:t>8.</w:t>
            </w:r>
            <w:r>
              <w:rPr>
                <w:rFonts w:ascii="Calibri" w:hAnsi="Calibri"/>
                <w:sz w:val="18"/>
              </w:rPr>
              <w:tab/>
            </w:r>
            <w:r>
              <w:rPr>
                <w:rFonts w:ascii="Calibri" w:hAnsi="Calibri"/>
                <w:sz w:val="22"/>
              </w:rPr>
              <w:t>¿Cree</w:t>
            </w:r>
            <w:r>
              <w:rPr>
                <w:rFonts w:ascii="Calibri" w:hAnsi="Calibri"/>
                <w:spacing w:val="-3"/>
                <w:sz w:val="22"/>
              </w:rPr>
              <w:t> </w:t>
            </w:r>
            <w:r>
              <w:rPr>
                <w:rFonts w:ascii="Calibri" w:hAnsi="Calibri"/>
                <w:sz w:val="22"/>
              </w:rPr>
              <w:t>que</w:t>
            </w:r>
            <w:r>
              <w:rPr>
                <w:rFonts w:ascii="Calibri" w:hAnsi="Calibri"/>
                <w:spacing w:val="-5"/>
                <w:sz w:val="22"/>
              </w:rPr>
              <w:t> </w:t>
            </w:r>
            <w:r>
              <w:rPr>
                <w:rFonts w:ascii="Calibri" w:hAnsi="Calibri"/>
                <w:sz w:val="22"/>
              </w:rPr>
              <w:t>existen</w:t>
            </w:r>
            <w:r>
              <w:rPr>
                <w:rFonts w:ascii="Calibri" w:hAnsi="Calibri"/>
                <w:spacing w:val="-3"/>
                <w:sz w:val="22"/>
              </w:rPr>
              <w:t> </w:t>
            </w:r>
            <w:r>
              <w:rPr>
                <w:rFonts w:ascii="Calibri" w:hAnsi="Calibri"/>
                <w:sz w:val="22"/>
              </w:rPr>
              <w:t>oportunidades</w:t>
            </w:r>
            <w:r>
              <w:rPr>
                <w:rFonts w:ascii="Calibri" w:hAnsi="Calibri"/>
                <w:spacing w:val="-3"/>
                <w:sz w:val="22"/>
              </w:rPr>
              <w:t> </w:t>
            </w:r>
            <w:r>
              <w:rPr>
                <w:rFonts w:ascii="Calibri" w:hAnsi="Calibri"/>
                <w:sz w:val="22"/>
              </w:rPr>
              <w:t>para</w:t>
            </w:r>
            <w:r>
              <w:rPr>
                <w:rFonts w:ascii="Calibri" w:hAnsi="Calibri"/>
                <w:spacing w:val="-3"/>
                <w:sz w:val="22"/>
              </w:rPr>
              <w:t> </w:t>
            </w:r>
            <w:r>
              <w:rPr>
                <w:rFonts w:ascii="Calibri" w:hAnsi="Calibri"/>
                <w:sz w:val="22"/>
              </w:rPr>
              <w:t>abrir</w:t>
            </w:r>
            <w:r>
              <w:rPr>
                <w:rFonts w:ascii="Calibri" w:hAnsi="Calibri"/>
                <w:spacing w:val="-4"/>
                <w:sz w:val="22"/>
              </w:rPr>
              <w:t> </w:t>
            </w:r>
            <w:r>
              <w:rPr>
                <w:rFonts w:ascii="Calibri" w:hAnsi="Calibri"/>
                <w:spacing w:val="-2"/>
                <w:sz w:val="22"/>
              </w:rPr>
              <w:t>nuevas</w:t>
            </w:r>
          </w:p>
          <w:p>
            <w:pPr>
              <w:pStyle w:val="TableParagraph"/>
              <w:spacing w:line="247" w:lineRule="exact"/>
              <w:ind w:left="827"/>
              <w:rPr>
                <w:rFonts w:ascii="Calibri"/>
                <w:sz w:val="22"/>
              </w:rPr>
            </w:pPr>
            <w:r>
              <w:rPr>
                <w:rFonts w:ascii="Calibri"/>
                <w:sz w:val="22"/>
              </w:rPr>
              <w:t>sucursales</w:t>
            </w:r>
            <w:r>
              <w:rPr>
                <w:rFonts w:ascii="Calibri"/>
                <w:spacing w:val="-3"/>
                <w:sz w:val="22"/>
              </w:rPr>
              <w:t> </w:t>
            </w:r>
            <w:r>
              <w:rPr>
                <w:rFonts w:ascii="Calibri"/>
                <w:sz w:val="22"/>
              </w:rPr>
              <w:t>a</w:t>
            </w:r>
            <w:r>
              <w:rPr>
                <w:rFonts w:ascii="Calibri"/>
                <w:spacing w:val="-2"/>
                <w:sz w:val="22"/>
              </w:rPr>
              <w:t> </w:t>
            </w:r>
            <w:r>
              <w:rPr>
                <w:rFonts w:ascii="Calibri"/>
                <w:sz w:val="22"/>
              </w:rPr>
              <w:t>pesar</w:t>
            </w:r>
            <w:r>
              <w:rPr>
                <w:rFonts w:ascii="Calibri"/>
                <w:spacing w:val="-1"/>
                <w:sz w:val="22"/>
              </w:rPr>
              <w:t> </w:t>
            </w:r>
            <w:r>
              <w:rPr>
                <w:rFonts w:ascii="Calibri"/>
                <w:sz w:val="22"/>
              </w:rPr>
              <w:t>del</w:t>
            </w:r>
            <w:r>
              <w:rPr>
                <w:rFonts w:ascii="Calibri"/>
                <w:spacing w:val="-4"/>
                <w:sz w:val="22"/>
              </w:rPr>
              <w:t> </w:t>
            </w:r>
            <w:r>
              <w:rPr>
                <w:rFonts w:ascii="Calibri"/>
                <w:sz w:val="22"/>
              </w:rPr>
              <w:t>impacto</w:t>
            </w:r>
            <w:r>
              <w:rPr>
                <w:rFonts w:ascii="Calibri"/>
                <w:spacing w:val="-2"/>
                <w:sz w:val="22"/>
              </w:rPr>
              <w:t> </w:t>
            </w:r>
            <w:r>
              <w:rPr>
                <w:rFonts w:ascii="Calibri"/>
                <w:sz w:val="22"/>
              </w:rPr>
              <w:t>del</w:t>
            </w:r>
            <w:r>
              <w:rPr>
                <w:rFonts w:ascii="Calibri"/>
                <w:spacing w:val="-1"/>
                <w:sz w:val="22"/>
              </w:rPr>
              <w:t> </w:t>
            </w:r>
            <w:r>
              <w:rPr>
                <w:rFonts w:ascii="Calibri"/>
                <w:spacing w:val="-4"/>
                <w:sz w:val="22"/>
              </w:rPr>
              <w:t>IGV?</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r>
        <w:trPr>
          <w:trHeight w:val="538" w:hRule="atLeast"/>
        </w:trPr>
        <w:tc>
          <w:tcPr>
            <w:tcW w:w="5665" w:type="dxa"/>
          </w:tcPr>
          <w:p>
            <w:pPr>
              <w:pStyle w:val="TableParagraph"/>
              <w:tabs>
                <w:tab w:pos="827" w:val="left" w:leader="none"/>
              </w:tabs>
              <w:ind w:left="467"/>
              <w:rPr>
                <w:rFonts w:ascii="Calibri" w:hAnsi="Calibri"/>
                <w:sz w:val="22"/>
              </w:rPr>
            </w:pPr>
            <w:r>
              <w:rPr>
                <w:rFonts w:ascii="Calibri" w:hAnsi="Calibri"/>
                <w:spacing w:val="-5"/>
                <w:sz w:val="18"/>
              </w:rPr>
              <w:t>9.</w:t>
            </w:r>
            <w:r>
              <w:rPr>
                <w:rFonts w:ascii="Calibri" w:hAnsi="Calibri"/>
                <w:sz w:val="18"/>
              </w:rPr>
              <w:tab/>
            </w:r>
            <w:r>
              <w:rPr>
                <w:rFonts w:ascii="Calibri" w:hAnsi="Calibri"/>
                <w:sz w:val="22"/>
              </w:rPr>
              <w:t>¿Piensa</w:t>
            </w:r>
            <w:r>
              <w:rPr>
                <w:rFonts w:ascii="Calibri" w:hAnsi="Calibri"/>
                <w:spacing w:val="-3"/>
                <w:sz w:val="22"/>
              </w:rPr>
              <w:t> </w:t>
            </w:r>
            <w:r>
              <w:rPr>
                <w:rFonts w:ascii="Calibri" w:hAnsi="Calibri"/>
                <w:sz w:val="22"/>
              </w:rPr>
              <w:t>que</w:t>
            </w:r>
            <w:r>
              <w:rPr>
                <w:rFonts w:ascii="Calibri" w:hAnsi="Calibri"/>
                <w:spacing w:val="-2"/>
                <w:sz w:val="22"/>
              </w:rPr>
              <w:t> </w:t>
            </w:r>
            <w:r>
              <w:rPr>
                <w:rFonts w:ascii="Calibri" w:hAnsi="Calibri"/>
                <w:sz w:val="22"/>
              </w:rPr>
              <w:t>el</w:t>
            </w:r>
            <w:r>
              <w:rPr>
                <w:rFonts w:ascii="Calibri" w:hAnsi="Calibri"/>
                <w:spacing w:val="-3"/>
                <w:sz w:val="22"/>
              </w:rPr>
              <w:t> </w:t>
            </w:r>
            <w:r>
              <w:rPr>
                <w:rFonts w:ascii="Calibri" w:hAnsi="Calibri"/>
                <w:sz w:val="22"/>
              </w:rPr>
              <w:t>IGV</w:t>
            </w:r>
            <w:r>
              <w:rPr>
                <w:rFonts w:ascii="Calibri" w:hAnsi="Calibri"/>
                <w:spacing w:val="-3"/>
                <w:sz w:val="22"/>
              </w:rPr>
              <w:t> </w:t>
            </w:r>
            <w:r>
              <w:rPr>
                <w:rFonts w:ascii="Calibri" w:hAnsi="Calibri"/>
                <w:sz w:val="22"/>
              </w:rPr>
              <w:t>ha</w:t>
            </w:r>
            <w:r>
              <w:rPr>
                <w:rFonts w:ascii="Calibri" w:hAnsi="Calibri"/>
                <w:spacing w:val="-4"/>
                <w:sz w:val="22"/>
              </w:rPr>
              <w:t> </w:t>
            </w:r>
            <w:r>
              <w:rPr>
                <w:rFonts w:ascii="Calibri" w:hAnsi="Calibri"/>
                <w:sz w:val="22"/>
              </w:rPr>
              <w:t>afectado</w:t>
            </w:r>
            <w:r>
              <w:rPr>
                <w:rFonts w:ascii="Calibri" w:hAnsi="Calibri"/>
                <w:spacing w:val="-4"/>
                <w:sz w:val="22"/>
              </w:rPr>
              <w:t> </w:t>
            </w:r>
            <w:r>
              <w:rPr>
                <w:rFonts w:ascii="Calibri" w:hAnsi="Calibri"/>
                <w:sz w:val="22"/>
              </w:rPr>
              <w:t>su</w:t>
            </w:r>
            <w:r>
              <w:rPr>
                <w:rFonts w:ascii="Calibri" w:hAnsi="Calibri"/>
                <w:spacing w:val="-4"/>
                <w:sz w:val="22"/>
              </w:rPr>
              <w:t> </w:t>
            </w:r>
            <w:r>
              <w:rPr>
                <w:rFonts w:ascii="Calibri" w:hAnsi="Calibri"/>
                <w:sz w:val="22"/>
              </w:rPr>
              <w:t>capacidad</w:t>
            </w:r>
            <w:r>
              <w:rPr>
                <w:rFonts w:ascii="Calibri" w:hAnsi="Calibri"/>
                <w:spacing w:val="-3"/>
                <w:sz w:val="22"/>
              </w:rPr>
              <w:t> </w:t>
            </w:r>
            <w:r>
              <w:rPr>
                <w:rFonts w:ascii="Calibri" w:hAnsi="Calibri"/>
                <w:spacing w:val="-4"/>
                <w:sz w:val="22"/>
              </w:rPr>
              <w:t>para</w:t>
            </w:r>
          </w:p>
          <w:p>
            <w:pPr>
              <w:pStyle w:val="TableParagraph"/>
              <w:spacing w:line="247" w:lineRule="exact" w:before="2"/>
              <w:ind w:left="827"/>
              <w:rPr>
                <w:rFonts w:ascii="Calibri"/>
                <w:sz w:val="22"/>
              </w:rPr>
            </w:pPr>
            <w:r>
              <w:rPr>
                <w:rFonts w:ascii="Calibri"/>
                <w:sz w:val="22"/>
              </w:rPr>
              <w:t>contratar</w:t>
            </w:r>
            <w:r>
              <w:rPr>
                <w:rFonts w:ascii="Calibri"/>
                <w:spacing w:val="-3"/>
                <w:sz w:val="22"/>
              </w:rPr>
              <w:t> </w:t>
            </w:r>
            <w:r>
              <w:rPr>
                <w:rFonts w:ascii="Calibri"/>
                <w:sz w:val="22"/>
              </w:rPr>
              <w:t>nuevos</w:t>
            </w:r>
            <w:r>
              <w:rPr>
                <w:rFonts w:ascii="Calibri"/>
                <w:spacing w:val="-2"/>
                <w:sz w:val="22"/>
              </w:rPr>
              <w:t> empleados?</w:t>
            </w:r>
          </w:p>
        </w:tc>
        <w:tc>
          <w:tcPr>
            <w:tcW w:w="568" w:type="dxa"/>
          </w:tcPr>
          <w:p>
            <w:pPr>
              <w:pStyle w:val="TableParagraph"/>
              <w:rPr>
                <w:rFonts w:ascii="Times New Roman"/>
                <w:sz w:val="20"/>
              </w:rPr>
            </w:pPr>
          </w:p>
        </w:tc>
        <w:tc>
          <w:tcPr>
            <w:tcW w:w="567" w:type="dxa"/>
          </w:tcPr>
          <w:p>
            <w:pPr>
              <w:pStyle w:val="TableParagraph"/>
              <w:rPr>
                <w:rFonts w:ascii="Times New Roman"/>
                <w:sz w:val="20"/>
              </w:rPr>
            </w:pPr>
          </w:p>
        </w:tc>
        <w:tc>
          <w:tcPr>
            <w:tcW w:w="614" w:type="dxa"/>
          </w:tcPr>
          <w:p>
            <w:pPr>
              <w:pStyle w:val="TableParagraph"/>
              <w:rPr>
                <w:rFonts w:ascii="Times New Roman"/>
                <w:sz w:val="20"/>
              </w:rPr>
            </w:pPr>
          </w:p>
        </w:tc>
        <w:tc>
          <w:tcPr>
            <w:tcW w:w="540" w:type="dxa"/>
          </w:tcPr>
          <w:p>
            <w:pPr>
              <w:pStyle w:val="TableParagraph"/>
              <w:rPr>
                <w:rFonts w:ascii="Times New Roman"/>
                <w:sz w:val="20"/>
              </w:rPr>
            </w:pPr>
          </w:p>
        </w:tc>
        <w:tc>
          <w:tcPr>
            <w:tcW w:w="542" w:type="dxa"/>
          </w:tcPr>
          <w:p>
            <w:pPr>
              <w:pStyle w:val="TableParagraph"/>
              <w:rPr>
                <w:rFonts w:ascii="Times New Roman"/>
                <w:sz w:val="20"/>
              </w:rPr>
            </w:pPr>
          </w:p>
        </w:tc>
      </w:tr>
    </w:tbl>
    <w:p>
      <w:pPr>
        <w:spacing w:before="7"/>
        <w:ind w:left="0" w:right="138" w:firstLine="0"/>
        <w:jc w:val="right"/>
        <w:rPr>
          <w:rFonts w:ascii="Calibri" w:hAnsi="Calibri"/>
          <w:b/>
          <w:i/>
          <w:sz w:val="22"/>
        </w:rPr>
      </w:pPr>
      <w:r>
        <w:rPr>
          <w:rFonts w:ascii="Calibri" w:hAnsi="Calibri"/>
          <w:b/>
          <w:i/>
          <w:sz w:val="22"/>
        </w:rPr>
        <w:t>¡Gracias</w:t>
      </w:r>
      <w:r>
        <w:rPr>
          <w:rFonts w:ascii="Calibri" w:hAnsi="Calibri"/>
          <w:b/>
          <w:i/>
          <w:spacing w:val="-3"/>
          <w:sz w:val="22"/>
        </w:rPr>
        <w:t> </w:t>
      </w:r>
      <w:r>
        <w:rPr>
          <w:rFonts w:ascii="Calibri" w:hAnsi="Calibri"/>
          <w:b/>
          <w:i/>
          <w:sz w:val="22"/>
        </w:rPr>
        <w:t>por</w:t>
      </w:r>
      <w:r>
        <w:rPr>
          <w:rFonts w:ascii="Calibri" w:hAnsi="Calibri"/>
          <w:b/>
          <w:i/>
          <w:spacing w:val="-3"/>
          <w:sz w:val="22"/>
        </w:rPr>
        <w:t> </w:t>
      </w:r>
      <w:r>
        <w:rPr>
          <w:rFonts w:ascii="Calibri" w:hAnsi="Calibri"/>
          <w:b/>
          <w:i/>
          <w:sz w:val="22"/>
        </w:rPr>
        <w:t>su</w:t>
      </w:r>
      <w:r>
        <w:rPr>
          <w:rFonts w:ascii="Calibri" w:hAnsi="Calibri"/>
          <w:b/>
          <w:i/>
          <w:spacing w:val="-2"/>
          <w:sz w:val="22"/>
        </w:rPr>
        <w:t> apoyo!</w:t>
      </w:r>
    </w:p>
    <w:p>
      <w:pPr>
        <w:spacing w:after="0"/>
        <w:jc w:val="right"/>
        <w:rPr>
          <w:rFonts w:ascii="Calibri" w:hAnsi="Calibri"/>
          <w:b/>
          <w:i/>
          <w:sz w:val="22"/>
        </w:rPr>
        <w:sectPr>
          <w:headerReference w:type="default" r:id="rId109"/>
          <w:footerReference w:type="default" r:id="rId110"/>
          <w:pgSz w:w="11910" w:h="16840"/>
          <w:pgMar w:header="0" w:footer="693" w:top="1340" w:bottom="880" w:left="1700" w:right="1275"/>
        </w:sectPr>
      </w:pPr>
    </w:p>
    <w:p>
      <w:pPr>
        <w:pStyle w:val="Heading2"/>
        <w:spacing w:line="276" w:lineRule="exact" w:before="67"/>
        <w:ind w:left="1086" w:right="1222"/>
        <w:rPr>
          <w:rFonts w:ascii="Arial"/>
        </w:rPr>
      </w:pPr>
      <w:r>
        <w:rPr>
          <w:rFonts w:ascii="Arial"/>
          <w:spacing w:val="-2"/>
        </w:rPr>
        <w:t>ANEXO</w:t>
      </w:r>
    </w:p>
    <w:p>
      <w:pPr>
        <w:pStyle w:val="Heading3"/>
        <w:spacing w:line="276" w:lineRule="exact"/>
        <w:ind w:left="1086" w:right="1224"/>
        <w:jc w:val="center"/>
      </w:pPr>
      <w:bookmarkStart w:name="_bookmark82" w:id="83"/>
      <w:bookmarkEnd w:id="83"/>
      <w:r>
        <w:rPr>
          <w:b w:val="0"/>
        </w:rPr>
      </w:r>
      <w:r>
        <w:rPr/>
        <w:t>Validación</w:t>
      </w:r>
      <w:r>
        <w:rPr>
          <w:spacing w:val="-3"/>
        </w:rPr>
        <w:t> </w:t>
      </w:r>
      <w:r>
        <w:rPr/>
        <w:t>Del </w:t>
      </w:r>
      <w:r>
        <w:rPr>
          <w:spacing w:val="-2"/>
        </w:rPr>
        <w:t>Instrumento</w:t>
      </w:r>
    </w:p>
    <w:p>
      <w:pPr>
        <w:pStyle w:val="BodyText"/>
        <w:spacing w:before="1"/>
        <w:rPr>
          <w:b/>
        </w:rPr>
      </w:pPr>
    </w:p>
    <w:p>
      <w:pPr>
        <w:spacing w:before="0"/>
        <w:ind w:left="1086" w:right="1222" w:firstLine="0"/>
        <w:jc w:val="center"/>
        <w:rPr>
          <w:rFonts w:ascii="Arial" w:hAnsi="Arial"/>
          <w:b/>
          <w:sz w:val="20"/>
        </w:rPr>
      </w:pPr>
      <w:r>
        <w:rPr>
          <w:rFonts w:ascii="Arial" w:hAnsi="Arial"/>
          <w:b/>
          <w:sz w:val="20"/>
        </w:rPr>
        <w:t>UNIVERSIDAD</w:t>
      </w:r>
      <w:r>
        <w:rPr>
          <w:rFonts w:ascii="Arial" w:hAnsi="Arial"/>
          <w:b/>
          <w:spacing w:val="-10"/>
          <w:sz w:val="20"/>
        </w:rPr>
        <w:t> </w:t>
      </w:r>
      <w:r>
        <w:rPr>
          <w:rFonts w:ascii="Arial" w:hAnsi="Arial"/>
          <w:b/>
          <w:sz w:val="20"/>
        </w:rPr>
        <w:t>ANDINA</w:t>
      </w:r>
      <w:r>
        <w:rPr>
          <w:rFonts w:ascii="Arial" w:hAnsi="Arial"/>
          <w:b/>
          <w:spacing w:val="-8"/>
          <w:sz w:val="20"/>
        </w:rPr>
        <w:t> </w:t>
      </w:r>
      <w:r>
        <w:rPr>
          <w:rFonts w:ascii="Arial" w:hAnsi="Arial"/>
          <w:b/>
          <w:sz w:val="20"/>
        </w:rPr>
        <w:t>“NÉSTOR</w:t>
      </w:r>
      <w:r>
        <w:rPr>
          <w:rFonts w:ascii="Arial" w:hAnsi="Arial"/>
          <w:b/>
          <w:spacing w:val="-9"/>
          <w:sz w:val="20"/>
        </w:rPr>
        <w:t> </w:t>
      </w:r>
      <w:r>
        <w:rPr>
          <w:rFonts w:ascii="Arial" w:hAnsi="Arial"/>
          <w:b/>
          <w:sz w:val="20"/>
        </w:rPr>
        <w:t>CÁCERES</w:t>
      </w:r>
      <w:r>
        <w:rPr>
          <w:rFonts w:ascii="Arial" w:hAnsi="Arial"/>
          <w:b/>
          <w:spacing w:val="-8"/>
          <w:sz w:val="20"/>
        </w:rPr>
        <w:t> </w:t>
      </w:r>
      <w:r>
        <w:rPr>
          <w:rFonts w:ascii="Arial" w:hAnsi="Arial"/>
          <w:b/>
          <w:sz w:val="20"/>
        </w:rPr>
        <w:t>VELÁSQUEZ” FACULTAD DE CIENCIAS ADMINISTRATIVAS</w:t>
      </w:r>
    </w:p>
    <w:p>
      <w:pPr>
        <w:spacing w:before="0"/>
        <w:ind w:left="1" w:right="137" w:firstLine="0"/>
        <w:jc w:val="center"/>
        <w:rPr>
          <w:rFonts w:ascii="Arial" w:hAnsi="Arial"/>
          <w:b/>
          <w:sz w:val="20"/>
        </w:rPr>
      </w:pPr>
      <w:r>
        <w:rPr>
          <w:rFonts w:ascii="Arial" w:hAnsi="Arial"/>
          <w:b/>
          <w:sz w:val="20"/>
        </w:rPr>
        <w:t>ESCUELA</w:t>
      </w:r>
      <w:r>
        <w:rPr>
          <w:rFonts w:ascii="Arial" w:hAnsi="Arial"/>
          <w:b/>
          <w:spacing w:val="-4"/>
          <w:sz w:val="20"/>
        </w:rPr>
        <w:t> </w:t>
      </w:r>
      <w:r>
        <w:rPr>
          <w:rFonts w:ascii="Arial" w:hAnsi="Arial"/>
          <w:b/>
          <w:sz w:val="20"/>
        </w:rPr>
        <w:t>PROFESIONAL</w:t>
      </w:r>
      <w:r>
        <w:rPr>
          <w:rFonts w:ascii="Arial" w:hAnsi="Arial"/>
          <w:b/>
          <w:spacing w:val="-4"/>
          <w:sz w:val="20"/>
        </w:rPr>
        <w:t> </w:t>
      </w:r>
      <w:r>
        <w:rPr>
          <w:rFonts w:ascii="Arial" w:hAnsi="Arial"/>
          <w:b/>
          <w:sz w:val="20"/>
        </w:rPr>
        <w:t>DE</w:t>
      </w:r>
      <w:r>
        <w:rPr>
          <w:rFonts w:ascii="Arial" w:hAnsi="Arial"/>
          <w:b/>
          <w:spacing w:val="-3"/>
          <w:sz w:val="20"/>
        </w:rPr>
        <w:t> </w:t>
      </w:r>
      <w:r>
        <w:rPr>
          <w:rFonts w:ascii="Arial" w:hAnsi="Arial"/>
          <w:b/>
          <w:sz w:val="20"/>
        </w:rPr>
        <w:t>ADMINISTRACIÒN</w:t>
      </w:r>
      <w:r>
        <w:rPr>
          <w:rFonts w:ascii="Arial" w:hAnsi="Arial"/>
          <w:b/>
          <w:spacing w:val="-4"/>
          <w:sz w:val="20"/>
        </w:rPr>
        <w:t> </w:t>
      </w:r>
      <w:r>
        <w:rPr>
          <w:rFonts w:ascii="Arial" w:hAnsi="Arial"/>
          <w:b/>
          <w:sz w:val="20"/>
        </w:rPr>
        <w:t>Y</w:t>
      </w:r>
      <w:r>
        <w:rPr>
          <w:rFonts w:ascii="Arial" w:hAnsi="Arial"/>
          <w:b/>
          <w:spacing w:val="-3"/>
          <w:sz w:val="20"/>
        </w:rPr>
        <w:t> </w:t>
      </w:r>
      <w:r>
        <w:rPr>
          <w:rFonts w:ascii="Arial" w:hAnsi="Arial"/>
          <w:b/>
          <w:sz w:val="20"/>
        </w:rPr>
        <w:t>NEGOCIOS</w:t>
      </w:r>
      <w:r>
        <w:rPr>
          <w:rFonts w:ascii="Arial" w:hAnsi="Arial"/>
          <w:b/>
          <w:spacing w:val="-5"/>
          <w:sz w:val="20"/>
        </w:rPr>
        <w:t> </w:t>
      </w:r>
      <w:r>
        <w:rPr>
          <w:rFonts w:ascii="Arial" w:hAnsi="Arial"/>
          <w:b/>
          <w:spacing w:val="-2"/>
          <w:sz w:val="20"/>
        </w:rPr>
        <w:t>INTERNACIONALES</w:t>
      </w:r>
    </w:p>
    <w:p>
      <w:pPr>
        <w:pStyle w:val="BodyText"/>
        <w:rPr>
          <w:rFonts w:ascii="Arial"/>
          <w:b/>
          <w:sz w:val="20"/>
        </w:rPr>
      </w:pPr>
    </w:p>
    <w:p>
      <w:pPr>
        <w:spacing w:before="0"/>
        <w:ind w:left="0" w:right="137" w:firstLine="0"/>
        <w:jc w:val="center"/>
        <w:rPr>
          <w:b/>
          <w:sz w:val="20"/>
        </w:rPr>
      </w:pPr>
      <w:r>
        <w:rPr>
          <w:rFonts w:ascii="Arial" w:hAnsi="Arial"/>
          <w:b/>
          <w:sz w:val="20"/>
        </w:rPr>
        <w:t>TÍTULO:</w:t>
      </w:r>
      <w:r>
        <w:rPr>
          <w:rFonts w:ascii="Arial" w:hAnsi="Arial"/>
          <w:b/>
          <w:spacing w:val="-10"/>
          <w:sz w:val="20"/>
        </w:rPr>
        <w:t> </w:t>
      </w:r>
      <w:r>
        <w:rPr>
          <w:b/>
          <w:sz w:val="20"/>
        </w:rPr>
        <w:t>EL</w:t>
      </w:r>
      <w:r>
        <w:rPr>
          <w:b/>
          <w:spacing w:val="-4"/>
          <w:sz w:val="20"/>
        </w:rPr>
        <w:t> </w:t>
      </w:r>
      <w:r>
        <w:rPr>
          <w:b/>
          <w:sz w:val="20"/>
        </w:rPr>
        <w:t>IMPUESTO</w:t>
      </w:r>
      <w:r>
        <w:rPr>
          <w:b/>
          <w:spacing w:val="-4"/>
          <w:sz w:val="20"/>
        </w:rPr>
        <w:t> </w:t>
      </w:r>
      <w:r>
        <w:rPr>
          <w:b/>
          <w:sz w:val="20"/>
        </w:rPr>
        <w:t>GENERAL</w:t>
      </w:r>
      <w:r>
        <w:rPr>
          <w:b/>
          <w:spacing w:val="-4"/>
          <w:sz w:val="20"/>
        </w:rPr>
        <w:t> </w:t>
      </w:r>
      <w:r>
        <w:rPr>
          <w:b/>
          <w:sz w:val="20"/>
        </w:rPr>
        <w:t>DE</w:t>
      </w:r>
      <w:r>
        <w:rPr>
          <w:b/>
          <w:spacing w:val="-4"/>
          <w:sz w:val="20"/>
        </w:rPr>
        <w:t> </w:t>
      </w:r>
      <w:r>
        <w:rPr>
          <w:b/>
          <w:sz w:val="20"/>
        </w:rPr>
        <w:t>LAS</w:t>
      </w:r>
      <w:r>
        <w:rPr>
          <w:b/>
          <w:spacing w:val="-4"/>
          <w:sz w:val="20"/>
        </w:rPr>
        <w:t> </w:t>
      </w:r>
      <w:r>
        <w:rPr>
          <w:b/>
          <w:sz w:val="20"/>
        </w:rPr>
        <w:t>VENTAS</w:t>
      </w:r>
      <w:r>
        <w:rPr>
          <w:b/>
          <w:spacing w:val="-4"/>
          <w:sz w:val="20"/>
        </w:rPr>
        <w:t> </w:t>
      </w:r>
      <w:r>
        <w:rPr>
          <w:b/>
          <w:sz w:val="20"/>
        </w:rPr>
        <w:t>EN</w:t>
      </w:r>
      <w:r>
        <w:rPr>
          <w:b/>
          <w:spacing w:val="-4"/>
          <w:sz w:val="20"/>
        </w:rPr>
        <w:t> </w:t>
      </w:r>
      <w:r>
        <w:rPr>
          <w:b/>
          <w:sz w:val="20"/>
        </w:rPr>
        <w:t>LA</w:t>
      </w:r>
      <w:r>
        <w:rPr>
          <w:b/>
          <w:spacing w:val="-4"/>
          <w:sz w:val="20"/>
        </w:rPr>
        <w:t> </w:t>
      </w:r>
      <w:r>
        <w:rPr>
          <w:b/>
          <w:sz w:val="20"/>
        </w:rPr>
        <w:t>PERCEPCIÓN</w:t>
      </w:r>
      <w:r>
        <w:rPr>
          <w:b/>
          <w:spacing w:val="-4"/>
          <w:sz w:val="20"/>
        </w:rPr>
        <w:t> </w:t>
      </w:r>
      <w:r>
        <w:rPr>
          <w:b/>
          <w:sz w:val="20"/>
        </w:rPr>
        <w:t>ECONÓMICA</w:t>
      </w:r>
      <w:r>
        <w:rPr>
          <w:b/>
          <w:spacing w:val="-4"/>
          <w:sz w:val="20"/>
        </w:rPr>
        <w:t> </w:t>
      </w:r>
      <w:r>
        <w:rPr>
          <w:b/>
          <w:sz w:val="20"/>
        </w:rPr>
        <w:t>DE LOS COMERCIANTES DEL CENTRO DE ABASTOS LAS MERCEDES DE JULIACA, 2023</w:t>
      </w:r>
    </w:p>
    <w:p>
      <w:pPr>
        <w:pStyle w:val="BodyText"/>
        <w:rPr>
          <w:b/>
          <w:sz w:val="20"/>
        </w:rPr>
      </w:pPr>
    </w:p>
    <w:p>
      <w:pPr>
        <w:pStyle w:val="BodyText"/>
        <w:spacing w:before="55"/>
        <w:rPr>
          <w:b/>
          <w:sz w:val="20"/>
        </w:rPr>
      </w:pPr>
    </w:p>
    <w:p>
      <w:pPr>
        <w:pStyle w:val="ListParagraph"/>
        <w:numPr>
          <w:ilvl w:val="0"/>
          <w:numId w:val="26"/>
        </w:numPr>
        <w:tabs>
          <w:tab w:pos="722" w:val="left" w:leader="none"/>
        </w:tabs>
        <w:spacing w:line="240" w:lineRule="auto" w:before="0" w:after="0"/>
        <w:ind w:left="722" w:right="0" w:hanging="720"/>
        <w:jc w:val="left"/>
        <w:rPr>
          <w:rFonts w:ascii="Arial"/>
          <w:b/>
          <w:sz w:val="20"/>
        </w:rPr>
      </w:pPr>
      <w:r>
        <w:rPr>
          <w:rFonts w:ascii="Arial"/>
          <w:b/>
          <w:spacing w:val="-2"/>
          <w:sz w:val="20"/>
        </w:rPr>
        <w:t>REFERENCIAS</w:t>
      </w:r>
    </w:p>
    <w:p>
      <w:pPr>
        <w:pStyle w:val="ListParagraph"/>
        <w:numPr>
          <w:ilvl w:val="1"/>
          <w:numId w:val="26"/>
        </w:numPr>
        <w:tabs>
          <w:tab w:pos="1082" w:val="left" w:leader="none"/>
          <w:tab w:pos="3542" w:val="left" w:leader="none"/>
        </w:tabs>
        <w:spacing w:line="245" w:lineRule="exact" w:before="1" w:after="0"/>
        <w:ind w:left="1082" w:right="0" w:hanging="360"/>
        <w:jc w:val="left"/>
        <w:rPr>
          <w:rFonts w:ascii="Arial" w:hAnsi="Arial"/>
          <w:b/>
          <w:sz w:val="20"/>
        </w:rPr>
      </w:pPr>
      <w:r>
        <w:rPr>
          <w:rFonts w:ascii="Arial MT" w:hAnsi="Arial MT"/>
          <w:spacing w:val="-2"/>
          <w:sz w:val="20"/>
        </w:rPr>
        <w:t>EXPERTO</w:t>
      </w:r>
      <w:r>
        <w:rPr>
          <w:rFonts w:ascii="Arial MT" w:hAnsi="Arial MT"/>
          <w:sz w:val="20"/>
        </w:rPr>
        <w:tab/>
        <w:t>:</w:t>
      </w:r>
      <w:r>
        <w:rPr>
          <w:rFonts w:ascii="Arial MT" w:hAnsi="Arial MT"/>
          <w:spacing w:val="-2"/>
          <w:sz w:val="20"/>
        </w:rPr>
        <w:t> </w:t>
      </w:r>
      <w:r>
        <w:rPr>
          <w:rFonts w:ascii="Arial" w:hAnsi="Arial"/>
          <w:b/>
          <w:sz w:val="20"/>
        </w:rPr>
        <w:t>DR.</w:t>
      </w:r>
      <w:r>
        <w:rPr>
          <w:rFonts w:ascii="Arial" w:hAnsi="Arial"/>
          <w:b/>
          <w:spacing w:val="-2"/>
          <w:sz w:val="20"/>
        </w:rPr>
        <w:t> </w:t>
      </w:r>
      <w:r>
        <w:rPr>
          <w:rFonts w:ascii="Arial" w:hAnsi="Arial"/>
          <w:b/>
          <w:sz w:val="20"/>
        </w:rPr>
        <w:t>ROBERTO</w:t>
      </w:r>
      <w:r>
        <w:rPr>
          <w:rFonts w:ascii="Arial" w:hAnsi="Arial"/>
          <w:b/>
          <w:spacing w:val="-4"/>
          <w:sz w:val="20"/>
        </w:rPr>
        <w:t> </w:t>
      </w:r>
      <w:r>
        <w:rPr>
          <w:rFonts w:ascii="Arial" w:hAnsi="Arial"/>
          <w:b/>
          <w:sz w:val="20"/>
        </w:rPr>
        <w:t>PAYÉ</w:t>
      </w:r>
      <w:r>
        <w:rPr>
          <w:rFonts w:ascii="Arial" w:hAnsi="Arial"/>
          <w:b/>
          <w:spacing w:val="-2"/>
          <w:sz w:val="20"/>
        </w:rPr>
        <w:t> COLQUEHUANCA</w:t>
      </w:r>
    </w:p>
    <w:p>
      <w:pPr>
        <w:pStyle w:val="ListParagraph"/>
        <w:numPr>
          <w:ilvl w:val="1"/>
          <w:numId w:val="26"/>
        </w:numPr>
        <w:tabs>
          <w:tab w:pos="1082" w:val="left" w:leader="none"/>
          <w:tab w:pos="3542" w:val="left" w:leader="none"/>
        </w:tabs>
        <w:spacing w:line="244" w:lineRule="exact" w:before="0" w:after="0"/>
        <w:ind w:left="1082" w:right="0" w:hanging="360"/>
        <w:jc w:val="left"/>
        <w:rPr>
          <w:rFonts w:ascii="Arial" w:hAnsi="Arial"/>
          <w:b/>
          <w:sz w:val="20"/>
        </w:rPr>
      </w:pPr>
      <w:r>
        <w:rPr>
          <w:rFonts w:ascii="Arial MT" w:hAnsi="Arial MT"/>
          <w:spacing w:val="-2"/>
          <w:sz w:val="20"/>
        </w:rPr>
        <w:t>PROFESIÓN</w:t>
      </w:r>
      <w:r>
        <w:rPr>
          <w:rFonts w:ascii="Arial MT" w:hAnsi="Arial MT"/>
          <w:sz w:val="20"/>
        </w:rPr>
        <w:tab/>
        <w:t>:</w:t>
      </w:r>
      <w:r>
        <w:rPr>
          <w:rFonts w:ascii="Arial MT" w:hAnsi="Arial MT"/>
          <w:spacing w:val="-2"/>
          <w:sz w:val="20"/>
        </w:rPr>
        <w:t> </w:t>
      </w:r>
      <w:r>
        <w:rPr>
          <w:rFonts w:ascii="Arial" w:hAnsi="Arial"/>
          <w:b/>
          <w:sz w:val="20"/>
        </w:rPr>
        <w:t>LICENCIADO</w:t>
      </w:r>
      <w:r>
        <w:rPr>
          <w:rFonts w:ascii="Arial" w:hAnsi="Arial"/>
          <w:b/>
          <w:spacing w:val="-1"/>
          <w:sz w:val="20"/>
        </w:rPr>
        <w:t> </w:t>
      </w:r>
      <w:r>
        <w:rPr>
          <w:rFonts w:ascii="Arial" w:hAnsi="Arial"/>
          <w:b/>
          <w:sz w:val="20"/>
        </w:rPr>
        <w:t>EN</w:t>
      </w:r>
      <w:r>
        <w:rPr>
          <w:rFonts w:ascii="Arial" w:hAnsi="Arial"/>
          <w:b/>
          <w:spacing w:val="-1"/>
          <w:sz w:val="20"/>
        </w:rPr>
        <w:t> </w:t>
      </w:r>
      <w:r>
        <w:rPr>
          <w:rFonts w:ascii="Arial" w:hAnsi="Arial"/>
          <w:b/>
          <w:spacing w:val="-2"/>
          <w:sz w:val="20"/>
        </w:rPr>
        <w:t>ADMINISTRACIÓN</w:t>
      </w:r>
    </w:p>
    <w:p>
      <w:pPr>
        <w:pStyle w:val="ListParagraph"/>
        <w:numPr>
          <w:ilvl w:val="1"/>
          <w:numId w:val="26"/>
        </w:numPr>
        <w:tabs>
          <w:tab w:pos="1082" w:val="left" w:leader="none"/>
          <w:tab w:pos="3542" w:val="left" w:leader="none"/>
        </w:tabs>
        <w:spacing w:line="243" w:lineRule="exact" w:before="0" w:after="0"/>
        <w:ind w:left="1082" w:right="0" w:hanging="360"/>
        <w:jc w:val="left"/>
        <w:rPr>
          <w:rFonts w:ascii="Arial" w:hAnsi="Arial"/>
          <w:b/>
          <w:sz w:val="20"/>
        </w:rPr>
      </w:pPr>
      <w:r>
        <w:rPr>
          <w:rFonts w:ascii="Arial MT" w:hAnsi="Arial MT"/>
          <w:sz w:val="20"/>
        </w:rPr>
        <w:t>CARGO </w:t>
      </w:r>
      <w:r>
        <w:rPr>
          <w:rFonts w:ascii="Arial MT" w:hAnsi="Arial MT"/>
          <w:spacing w:val="-2"/>
          <w:sz w:val="20"/>
        </w:rPr>
        <w:t>ACTUAL</w:t>
      </w:r>
      <w:r>
        <w:rPr>
          <w:rFonts w:ascii="Arial MT" w:hAnsi="Arial MT"/>
          <w:sz w:val="20"/>
        </w:rPr>
        <w:tab/>
        <w:t>: </w:t>
      </w:r>
      <w:r>
        <w:rPr>
          <w:rFonts w:ascii="Arial" w:hAnsi="Arial"/>
          <w:b/>
          <w:sz w:val="20"/>
        </w:rPr>
        <w:t>DOCENTE </w:t>
      </w:r>
      <w:r>
        <w:rPr>
          <w:rFonts w:ascii="Arial" w:hAnsi="Arial"/>
          <w:b/>
          <w:spacing w:val="-2"/>
          <w:sz w:val="20"/>
        </w:rPr>
        <w:t>UNIVERSITARIO</w:t>
      </w:r>
    </w:p>
    <w:p>
      <w:pPr>
        <w:pStyle w:val="ListParagraph"/>
        <w:numPr>
          <w:ilvl w:val="1"/>
          <w:numId w:val="26"/>
        </w:numPr>
        <w:tabs>
          <w:tab w:pos="1082" w:val="left" w:leader="none"/>
          <w:tab w:pos="3542" w:val="left" w:leader="none"/>
        </w:tabs>
        <w:spacing w:line="244" w:lineRule="exact" w:before="0" w:after="0"/>
        <w:ind w:left="1082" w:right="0" w:hanging="360"/>
        <w:jc w:val="left"/>
        <w:rPr>
          <w:rFonts w:ascii="Arial" w:hAnsi="Arial"/>
          <w:b/>
          <w:sz w:val="20"/>
        </w:rPr>
      </w:pPr>
      <w:r>
        <w:rPr>
          <w:rFonts w:ascii="Arial MT" w:hAnsi="Arial MT"/>
          <w:sz w:val="20"/>
        </w:rPr>
        <w:t>GRADO </w:t>
      </w:r>
      <w:r>
        <w:rPr>
          <w:rFonts w:ascii="Arial MT" w:hAnsi="Arial MT"/>
          <w:spacing w:val="-2"/>
          <w:sz w:val="20"/>
        </w:rPr>
        <w:t>ACADÉMICO</w:t>
      </w:r>
      <w:r>
        <w:rPr>
          <w:rFonts w:ascii="Arial MT" w:hAnsi="Arial MT"/>
          <w:sz w:val="20"/>
        </w:rPr>
        <w:tab/>
        <w:t>: </w:t>
      </w:r>
      <w:r>
        <w:rPr>
          <w:rFonts w:ascii="Arial" w:hAnsi="Arial"/>
          <w:b/>
          <w:spacing w:val="-2"/>
          <w:sz w:val="20"/>
        </w:rPr>
        <w:t>DOCTOR</w:t>
      </w:r>
    </w:p>
    <w:p>
      <w:pPr>
        <w:pStyle w:val="BodyText"/>
        <w:spacing w:before="44"/>
        <w:rPr>
          <w:rFonts w:ascii="Arial"/>
          <w:b/>
          <w:sz w:val="20"/>
        </w:rPr>
      </w:pPr>
    </w:p>
    <w:p>
      <w:pPr>
        <w:pStyle w:val="Heading2"/>
        <w:numPr>
          <w:ilvl w:val="0"/>
          <w:numId w:val="26"/>
        </w:numPr>
        <w:tabs>
          <w:tab w:pos="722" w:val="left" w:leader="none"/>
        </w:tabs>
        <w:spacing w:line="240" w:lineRule="auto" w:before="1" w:after="0"/>
        <w:ind w:left="722" w:right="0" w:hanging="720"/>
        <w:jc w:val="left"/>
        <w:rPr>
          <w:rFonts w:ascii="Arial" w:hAnsi="Arial"/>
        </w:rPr>
      </w:pPr>
      <w:r>
        <w:rPr>
          <w:rFonts w:ascii="Arial" w:hAnsi="Arial"/>
        </w:rPr>
        <w:t>ASPECTO</w:t>
      </w:r>
      <w:r>
        <w:rPr>
          <w:rFonts w:ascii="Arial" w:hAnsi="Arial"/>
          <w:spacing w:val="-3"/>
        </w:rPr>
        <w:t> </w:t>
      </w:r>
      <w:r>
        <w:rPr>
          <w:rFonts w:ascii="Arial" w:hAnsi="Arial"/>
        </w:rPr>
        <w:t>DE</w:t>
      </w:r>
      <w:r>
        <w:rPr>
          <w:rFonts w:ascii="Arial" w:hAnsi="Arial"/>
          <w:spacing w:val="-2"/>
        </w:rPr>
        <w:t> EVAUACIÓN</w:t>
      </w:r>
    </w:p>
    <w:tbl>
      <w:tblPr>
        <w:tblW w:w="0" w:type="auto"/>
        <w:jc w:val="left"/>
        <w:tblInd w:w="7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10"/>
        <w:gridCol w:w="3828"/>
        <w:gridCol w:w="424"/>
        <w:gridCol w:w="426"/>
        <w:gridCol w:w="426"/>
        <w:gridCol w:w="424"/>
        <w:gridCol w:w="426"/>
      </w:tblGrid>
      <w:tr>
        <w:trPr>
          <w:trHeight w:val="977" w:hRule="atLeast"/>
        </w:trPr>
        <w:tc>
          <w:tcPr>
            <w:tcW w:w="2110" w:type="dxa"/>
          </w:tcPr>
          <w:p>
            <w:pPr>
              <w:pStyle w:val="TableParagraph"/>
              <w:spacing w:before="76"/>
              <w:rPr>
                <w:rFonts w:ascii="Arial"/>
                <w:b/>
                <w:sz w:val="24"/>
              </w:rPr>
            </w:pPr>
          </w:p>
          <w:p>
            <w:pPr>
              <w:pStyle w:val="TableParagraph"/>
              <w:ind w:left="213"/>
              <w:rPr>
                <w:rFonts w:ascii="Arial"/>
                <w:b/>
                <w:sz w:val="24"/>
              </w:rPr>
            </w:pPr>
            <w:r>
              <w:rPr>
                <w:rFonts w:ascii="Arial"/>
                <w:b/>
                <w:spacing w:val="-2"/>
                <w:sz w:val="24"/>
              </w:rPr>
              <w:t>INDICADORES</w:t>
            </w:r>
          </w:p>
        </w:tc>
        <w:tc>
          <w:tcPr>
            <w:tcW w:w="3828" w:type="dxa"/>
          </w:tcPr>
          <w:p>
            <w:pPr>
              <w:pStyle w:val="TableParagraph"/>
              <w:spacing w:before="76"/>
              <w:rPr>
                <w:rFonts w:ascii="Arial"/>
                <w:b/>
                <w:sz w:val="24"/>
              </w:rPr>
            </w:pPr>
          </w:p>
          <w:p>
            <w:pPr>
              <w:pStyle w:val="TableParagraph"/>
              <w:ind w:left="1259"/>
              <w:rPr>
                <w:rFonts w:ascii="Arial"/>
                <w:b/>
                <w:sz w:val="24"/>
              </w:rPr>
            </w:pPr>
            <w:r>
              <w:rPr>
                <w:rFonts w:ascii="Arial"/>
                <w:b/>
                <w:spacing w:val="-2"/>
                <w:sz w:val="24"/>
              </w:rPr>
              <w:t>CRITERIOS</w:t>
            </w:r>
          </w:p>
        </w:tc>
        <w:tc>
          <w:tcPr>
            <w:tcW w:w="424" w:type="dxa"/>
            <w:textDirection w:val="btLr"/>
          </w:tcPr>
          <w:p>
            <w:pPr>
              <w:pStyle w:val="TableParagraph"/>
              <w:spacing w:before="111"/>
              <w:ind w:left="111"/>
              <w:rPr>
                <w:rFonts w:ascii="Arial"/>
                <w:b/>
                <w:sz w:val="14"/>
              </w:rPr>
            </w:pPr>
            <w:r>
              <w:rPr>
                <w:rFonts w:ascii="Arial"/>
                <w:b/>
                <w:spacing w:val="-2"/>
                <w:w w:val="90"/>
                <w:sz w:val="14"/>
              </w:rPr>
              <w:t>DEFICIENTE</w:t>
            </w:r>
          </w:p>
        </w:tc>
        <w:tc>
          <w:tcPr>
            <w:tcW w:w="426" w:type="dxa"/>
            <w:textDirection w:val="btLr"/>
          </w:tcPr>
          <w:p>
            <w:pPr>
              <w:pStyle w:val="TableParagraph"/>
              <w:spacing w:before="110"/>
              <w:ind w:left="111"/>
              <w:rPr>
                <w:rFonts w:ascii="Arial"/>
                <w:b/>
                <w:sz w:val="14"/>
              </w:rPr>
            </w:pPr>
            <w:r>
              <w:rPr>
                <w:rFonts w:ascii="Arial"/>
                <w:b/>
                <w:spacing w:val="-2"/>
                <w:w w:val="90"/>
                <w:sz w:val="14"/>
              </w:rPr>
              <w:t>REGULAR</w:t>
            </w:r>
          </w:p>
        </w:tc>
        <w:tc>
          <w:tcPr>
            <w:tcW w:w="426" w:type="dxa"/>
            <w:textDirection w:val="btLr"/>
          </w:tcPr>
          <w:p>
            <w:pPr>
              <w:pStyle w:val="TableParagraph"/>
              <w:spacing w:before="111"/>
              <w:ind w:left="111"/>
              <w:rPr>
                <w:rFonts w:ascii="Arial"/>
                <w:b/>
                <w:sz w:val="14"/>
              </w:rPr>
            </w:pPr>
            <w:r>
              <w:rPr>
                <w:rFonts w:ascii="Arial"/>
                <w:b/>
                <w:spacing w:val="-2"/>
                <w:w w:val="90"/>
                <w:sz w:val="14"/>
              </w:rPr>
              <w:t>BUENA</w:t>
            </w:r>
          </w:p>
        </w:tc>
        <w:tc>
          <w:tcPr>
            <w:tcW w:w="424" w:type="dxa"/>
            <w:textDirection w:val="btLr"/>
          </w:tcPr>
          <w:p>
            <w:pPr>
              <w:pStyle w:val="TableParagraph"/>
              <w:spacing w:before="110"/>
              <w:ind w:left="111"/>
              <w:rPr>
                <w:rFonts w:ascii="Arial"/>
                <w:b/>
                <w:sz w:val="14"/>
              </w:rPr>
            </w:pPr>
            <w:r>
              <w:rPr>
                <w:rFonts w:ascii="Arial"/>
                <w:b/>
                <w:w w:val="80"/>
                <w:sz w:val="14"/>
              </w:rPr>
              <w:t>MUY</w:t>
            </w:r>
            <w:r>
              <w:rPr>
                <w:rFonts w:ascii="Arial"/>
                <w:b/>
                <w:spacing w:val="-2"/>
                <w:w w:val="90"/>
                <w:sz w:val="14"/>
              </w:rPr>
              <w:t> </w:t>
            </w:r>
            <w:r>
              <w:rPr>
                <w:rFonts w:ascii="Arial"/>
                <w:b/>
                <w:spacing w:val="-4"/>
                <w:w w:val="90"/>
                <w:sz w:val="14"/>
              </w:rPr>
              <w:t>BUENA</w:t>
            </w:r>
          </w:p>
        </w:tc>
        <w:tc>
          <w:tcPr>
            <w:tcW w:w="426" w:type="dxa"/>
            <w:textDirection w:val="btLr"/>
          </w:tcPr>
          <w:p>
            <w:pPr>
              <w:pStyle w:val="TableParagraph"/>
              <w:spacing w:before="111"/>
              <w:ind w:left="111"/>
              <w:rPr>
                <w:rFonts w:ascii="Arial"/>
                <w:b/>
                <w:sz w:val="14"/>
              </w:rPr>
            </w:pPr>
            <w:r>
              <w:rPr>
                <w:rFonts w:ascii="Arial"/>
                <w:b/>
                <w:spacing w:val="-2"/>
                <w:w w:val="90"/>
                <w:sz w:val="14"/>
              </w:rPr>
              <w:t>EXCELENTE</w:t>
            </w:r>
          </w:p>
        </w:tc>
      </w:tr>
      <w:tr>
        <w:trPr>
          <w:trHeight w:val="230" w:hRule="atLeast"/>
        </w:trPr>
        <w:tc>
          <w:tcPr>
            <w:tcW w:w="2110" w:type="dxa"/>
          </w:tcPr>
          <w:p>
            <w:pPr>
              <w:pStyle w:val="TableParagraph"/>
              <w:tabs>
                <w:tab w:pos="466" w:val="left" w:leader="none"/>
              </w:tabs>
              <w:spacing w:line="210" w:lineRule="exact" w:before="1"/>
              <w:ind w:left="107"/>
              <w:rPr>
                <w:sz w:val="20"/>
              </w:rPr>
            </w:pPr>
            <w:r>
              <w:rPr>
                <w:spacing w:val="-5"/>
                <w:w w:val="90"/>
                <w:sz w:val="20"/>
              </w:rPr>
              <w:t>1.</w:t>
            </w:r>
            <w:r>
              <w:rPr>
                <w:sz w:val="20"/>
              </w:rPr>
              <w:tab/>
            </w:r>
            <w:r>
              <w:rPr>
                <w:spacing w:val="-2"/>
                <w:w w:val="90"/>
                <w:sz w:val="20"/>
              </w:rPr>
              <w:t>CLARIDAD</w:t>
            </w:r>
          </w:p>
        </w:tc>
        <w:tc>
          <w:tcPr>
            <w:tcW w:w="3828" w:type="dxa"/>
          </w:tcPr>
          <w:p>
            <w:pPr>
              <w:pStyle w:val="TableParagraph"/>
              <w:spacing w:line="210" w:lineRule="exact" w:before="1"/>
              <w:ind w:left="107"/>
              <w:rPr>
                <w:sz w:val="20"/>
              </w:rPr>
            </w:pPr>
            <w:r>
              <w:rPr>
                <w:w w:val="80"/>
                <w:sz w:val="20"/>
              </w:rPr>
              <w:t>Está</w:t>
            </w:r>
            <w:r>
              <w:rPr>
                <w:spacing w:val="-3"/>
                <w:sz w:val="20"/>
              </w:rPr>
              <w:t> </w:t>
            </w:r>
            <w:r>
              <w:rPr>
                <w:w w:val="80"/>
                <w:sz w:val="20"/>
              </w:rPr>
              <w:t>redactado</w:t>
            </w:r>
            <w:r>
              <w:rPr>
                <w:spacing w:val="-7"/>
                <w:sz w:val="20"/>
              </w:rPr>
              <w:t> </w:t>
            </w:r>
            <w:r>
              <w:rPr>
                <w:w w:val="80"/>
                <w:sz w:val="20"/>
              </w:rPr>
              <w:t>con</w:t>
            </w:r>
            <w:r>
              <w:rPr>
                <w:spacing w:val="-6"/>
                <w:sz w:val="20"/>
              </w:rPr>
              <w:t> </w:t>
            </w:r>
            <w:r>
              <w:rPr>
                <w:w w:val="80"/>
                <w:sz w:val="20"/>
              </w:rPr>
              <w:t>lenguaje</w:t>
            </w:r>
            <w:r>
              <w:rPr>
                <w:spacing w:val="-4"/>
                <w:sz w:val="20"/>
              </w:rPr>
              <w:t> </w:t>
            </w:r>
            <w:r>
              <w:rPr>
                <w:spacing w:val="-2"/>
                <w:w w:val="80"/>
                <w:sz w:val="20"/>
              </w:rPr>
              <w:t>apropiado</w:t>
            </w:r>
          </w:p>
        </w:tc>
        <w:tc>
          <w:tcPr>
            <w:tcW w:w="424" w:type="dxa"/>
          </w:tcPr>
          <w:p>
            <w:pPr>
              <w:pStyle w:val="TableParagraph"/>
              <w:spacing w:line="210" w:lineRule="exact" w:before="1"/>
              <w:ind w:left="108"/>
              <w:rPr>
                <w:sz w:val="20"/>
              </w:rPr>
            </w:pPr>
            <w:r>
              <w:rPr>
                <w:spacing w:val="-10"/>
                <w:sz w:val="20"/>
              </w:rPr>
              <w:t>1</w:t>
            </w:r>
          </w:p>
        </w:tc>
        <w:tc>
          <w:tcPr>
            <w:tcW w:w="426" w:type="dxa"/>
          </w:tcPr>
          <w:p>
            <w:pPr>
              <w:pStyle w:val="TableParagraph"/>
              <w:spacing w:line="210" w:lineRule="exact" w:before="1"/>
              <w:ind w:right="86"/>
              <w:jc w:val="center"/>
              <w:rPr>
                <w:sz w:val="20"/>
              </w:rPr>
            </w:pPr>
            <w:r>
              <w:rPr>
                <w:spacing w:val="-10"/>
                <w:sz w:val="20"/>
              </w:rPr>
              <w:t>2</w:t>
            </w:r>
          </w:p>
        </w:tc>
        <w:tc>
          <w:tcPr>
            <w:tcW w:w="426" w:type="dxa"/>
          </w:tcPr>
          <w:p>
            <w:pPr>
              <w:pStyle w:val="TableParagraph"/>
              <w:spacing w:line="210" w:lineRule="exact" w:before="1"/>
              <w:ind w:right="86"/>
              <w:jc w:val="center"/>
              <w:rPr>
                <w:sz w:val="20"/>
              </w:rPr>
            </w:pPr>
            <w:r>
              <w:rPr>
                <w:spacing w:val="-10"/>
                <w:sz w:val="20"/>
              </w:rPr>
              <w:t>3</w:t>
            </w:r>
          </w:p>
        </w:tc>
        <w:tc>
          <w:tcPr>
            <w:tcW w:w="424" w:type="dxa"/>
          </w:tcPr>
          <w:p>
            <w:pPr>
              <w:pStyle w:val="TableParagraph"/>
              <w:spacing w:line="210" w:lineRule="exact" w:before="1"/>
              <w:ind w:left="108"/>
              <w:rPr>
                <w:sz w:val="20"/>
              </w:rPr>
            </w:pPr>
            <w:r>
              <w:rPr>
                <w:spacing w:val="-10"/>
                <w:sz w:val="20"/>
              </w:rPr>
              <w:t>4</w:t>
            </w:r>
          </w:p>
        </w:tc>
        <w:tc>
          <w:tcPr>
            <w:tcW w:w="426" w:type="dxa"/>
          </w:tcPr>
          <w:p>
            <w:pPr>
              <w:pStyle w:val="TableParagraph"/>
              <w:spacing w:line="210" w:lineRule="exact" w:before="1"/>
              <w:ind w:right="86"/>
              <w:jc w:val="center"/>
              <w:rPr>
                <w:sz w:val="20"/>
              </w:rPr>
            </w:pPr>
            <w:r>
              <w:rPr>
                <w:spacing w:val="-10"/>
                <w:sz w:val="20"/>
              </w:rPr>
              <w:t>5</w:t>
            </w:r>
          </w:p>
        </w:tc>
      </w:tr>
      <w:tr>
        <w:trPr>
          <w:trHeight w:val="230" w:hRule="atLeast"/>
        </w:trPr>
        <w:tc>
          <w:tcPr>
            <w:tcW w:w="2110" w:type="dxa"/>
          </w:tcPr>
          <w:p>
            <w:pPr>
              <w:pStyle w:val="TableParagraph"/>
              <w:tabs>
                <w:tab w:pos="466" w:val="left" w:leader="none"/>
              </w:tabs>
              <w:spacing w:line="210" w:lineRule="exact"/>
              <w:ind w:left="107"/>
              <w:rPr>
                <w:sz w:val="20"/>
              </w:rPr>
            </w:pPr>
            <w:r>
              <w:rPr>
                <w:spacing w:val="-5"/>
                <w:w w:val="90"/>
                <w:sz w:val="20"/>
              </w:rPr>
              <w:t>2.</w:t>
            </w:r>
            <w:r>
              <w:rPr>
                <w:sz w:val="20"/>
              </w:rPr>
              <w:tab/>
            </w:r>
            <w:r>
              <w:rPr>
                <w:spacing w:val="-2"/>
                <w:w w:val="90"/>
                <w:sz w:val="20"/>
              </w:rPr>
              <w:t>OBJETIVIDAD</w:t>
            </w:r>
          </w:p>
        </w:tc>
        <w:tc>
          <w:tcPr>
            <w:tcW w:w="3828" w:type="dxa"/>
          </w:tcPr>
          <w:p>
            <w:pPr>
              <w:pStyle w:val="TableParagraph"/>
              <w:spacing w:line="210" w:lineRule="exact"/>
              <w:ind w:left="107"/>
              <w:rPr>
                <w:sz w:val="20"/>
              </w:rPr>
            </w:pPr>
            <w:r>
              <w:rPr>
                <w:w w:val="80"/>
                <w:sz w:val="20"/>
              </w:rPr>
              <w:t>Está</w:t>
            </w:r>
            <w:r>
              <w:rPr>
                <w:spacing w:val="-1"/>
                <w:sz w:val="20"/>
              </w:rPr>
              <w:t> </w:t>
            </w:r>
            <w:r>
              <w:rPr>
                <w:w w:val="80"/>
                <w:sz w:val="20"/>
              </w:rPr>
              <w:t>expresado</w:t>
            </w:r>
            <w:r>
              <w:rPr>
                <w:spacing w:val="-2"/>
                <w:sz w:val="20"/>
              </w:rPr>
              <w:t> </w:t>
            </w:r>
            <w:r>
              <w:rPr>
                <w:w w:val="80"/>
                <w:sz w:val="20"/>
              </w:rPr>
              <w:t>en</w:t>
            </w:r>
            <w:r>
              <w:rPr>
                <w:spacing w:val="-2"/>
                <w:sz w:val="20"/>
              </w:rPr>
              <w:t> </w:t>
            </w:r>
            <w:r>
              <w:rPr>
                <w:w w:val="80"/>
                <w:sz w:val="20"/>
              </w:rPr>
              <w:t>capacidades</w:t>
            </w:r>
            <w:r>
              <w:rPr>
                <w:spacing w:val="-3"/>
                <w:sz w:val="20"/>
              </w:rPr>
              <w:t> </w:t>
            </w:r>
            <w:r>
              <w:rPr>
                <w:spacing w:val="-2"/>
                <w:w w:val="80"/>
                <w:sz w:val="20"/>
              </w:rPr>
              <w:t>observables</w:t>
            </w:r>
          </w:p>
        </w:tc>
        <w:tc>
          <w:tcPr>
            <w:tcW w:w="424" w:type="dxa"/>
          </w:tcPr>
          <w:p>
            <w:pPr>
              <w:pStyle w:val="TableParagraph"/>
              <w:spacing w:line="210" w:lineRule="exact"/>
              <w:ind w:left="108"/>
              <w:rPr>
                <w:sz w:val="20"/>
              </w:rPr>
            </w:pPr>
            <w:r>
              <w:rPr>
                <w:spacing w:val="-10"/>
                <w:sz w:val="20"/>
              </w:rPr>
              <w:t>1</w:t>
            </w:r>
          </w:p>
        </w:tc>
        <w:tc>
          <w:tcPr>
            <w:tcW w:w="426" w:type="dxa"/>
          </w:tcPr>
          <w:p>
            <w:pPr>
              <w:pStyle w:val="TableParagraph"/>
              <w:spacing w:line="210" w:lineRule="exact"/>
              <w:ind w:right="86"/>
              <w:jc w:val="center"/>
              <w:rPr>
                <w:sz w:val="20"/>
              </w:rPr>
            </w:pPr>
            <w:r>
              <w:rPr>
                <w:spacing w:val="-10"/>
                <w:sz w:val="20"/>
              </w:rPr>
              <w:t>2</w:t>
            </w:r>
          </w:p>
        </w:tc>
        <w:tc>
          <w:tcPr>
            <w:tcW w:w="426" w:type="dxa"/>
          </w:tcPr>
          <w:p>
            <w:pPr>
              <w:pStyle w:val="TableParagraph"/>
              <w:spacing w:line="210" w:lineRule="exact"/>
              <w:ind w:right="86"/>
              <w:jc w:val="center"/>
              <w:rPr>
                <w:sz w:val="20"/>
              </w:rPr>
            </w:pPr>
            <w:r>
              <w:rPr>
                <w:spacing w:val="-10"/>
                <w:sz w:val="20"/>
              </w:rPr>
              <w:t>3</w:t>
            </w:r>
          </w:p>
        </w:tc>
        <w:tc>
          <w:tcPr>
            <w:tcW w:w="424" w:type="dxa"/>
          </w:tcPr>
          <w:p>
            <w:pPr>
              <w:pStyle w:val="TableParagraph"/>
              <w:spacing w:line="210" w:lineRule="exact"/>
              <w:ind w:left="108"/>
              <w:rPr>
                <w:sz w:val="20"/>
              </w:rPr>
            </w:pPr>
            <w:r>
              <w:rPr>
                <w:spacing w:val="-10"/>
                <w:sz w:val="20"/>
              </w:rPr>
              <w:t>4</w:t>
            </w:r>
          </w:p>
        </w:tc>
        <w:tc>
          <w:tcPr>
            <w:tcW w:w="426" w:type="dxa"/>
          </w:tcPr>
          <w:p>
            <w:pPr>
              <w:pStyle w:val="TableParagraph"/>
              <w:spacing w:line="210" w:lineRule="exact"/>
              <w:ind w:right="86"/>
              <w:jc w:val="center"/>
              <w:rPr>
                <w:sz w:val="20"/>
              </w:rPr>
            </w:pPr>
            <w:r>
              <w:rPr>
                <w:spacing w:val="-10"/>
                <w:sz w:val="20"/>
              </w:rPr>
              <w:t>5</w:t>
            </w:r>
          </w:p>
        </w:tc>
      </w:tr>
      <w:tr>
        <w:trPr>
          <w:trHeight w:val="230" w:hRule="atLeast"/>
        </w:trPr>
        <w:tc>
          <w:tcPr>
            <w:tcW w:w="2110" w:type="dxa"/>
          </w:tcPr>
          <w:p>
            <w:pPr>
              <w:pStyle w:val="TableParagraph"/>
              <w:tabs>
                <w:tab w:pos="466" w:val="left" w:leader="none"/>
              </w:tabs>
              <w:spacing w:line="210" w:lineRule="exact"/>
              <w:ind w:left="107"/>
              <w:rPr>
                <w:sz w:val="20"/>
              </w:rPr>
            </w:pPr>
            <w:r>
              <w:rPr>
                <w:spacing w:val="-5"/>
                <w:w w:val="90"/>
                <w:sz w:val="20"/>
              </w:rPr>
              <w:t>3.</w:t>
            </w:r>
            <w:r>
              <w:rPr>
                <w:sz w:val="20"/>
              </w:rPr>
              <w:tab/>
            </w:r>
            <w:r>
              <w:rPr>
                <w:spacing w:val="-2"/>
                <w:w w:val="90"/>
                <w:sz w:val="20"/>
              </w:rPr>
              <w:t>ACTUALIDAD</w:t>
            </w:r>
          </w:p>
        </w:tc>
        <w:tc>
          <w:tcPr>
            <w:tcW w:w="3828" w:type="dxa"/>
          </w:tcPr>
          <w:p>
            <w:pPr>
              <w:pStyle w:val="TableParagraph"/>
              <w:spacing w:line="210" w:lineRule="exact"/>
              <w:ind w:left="107"/>
              <w:rPr>
                <w:sz w:val="20"/>
              </w:rPr>
            </w:pPr>
            <w:r>
              <w:rPr>
                <w:w w:val="80"/>
                <w:sz w:val="20"/>
              </w:rPr>
              <w:t>Adecuado</w:t>
            </w:r>
            <w:r>
              <w:rPr>
                <w:spacing w:val="-5"/>
                <w:sz w:val="20"/>
              </w:rPr>
              <w:t> </w:t>
            </w:r>
            <w:r>
              <w:rPr>
                <w:w w:val="80"/>
                <w:sz w:val="20"/>
              </w:rPr>
              <w:t>al</w:t>
            </w:r>
            <w:r>
              <w:rPr>
                <w:spacing w:val="-7"/>
                <w:sz w:val="20"/>
              </w:rPr>
              <w:t> </w:t>
            </w:r>
            <w:r>
              <w:rPr>
                <w:w w:val="80"/>
                <w:sz w:val="20"/>
              </w:rPr>
              <w:t>avance</w:t>
            </w:r>
            <w:r>
              <w:rPr>
                <w:spacing w:val="-4"/>
                <w:sz w:val="20"/>
              </w:rPr>
              <w:t> </w:t>
            </w:r>
            <w:r>
              <w:rPr>
                <w:w w:val="80"/>
                <w:sz w:val="20"/>
              </w:rPr>
              <w:t>de</w:t>
            </w:r>
            <w:r>
              <w:rPr>
                <w:spacing w:val="-5"/>
                <w:sz w:val="20"/>
              </w:rPr>
              <w:t> </w:t>
            </w:r>
            <w:r>
              <w:rPr>
                <w:w w:val="80"/>
                <w:sz w:val="20"/>
              </w:rPr>
              <w:t>la</w:t>
            </w:r>
            <w:r>
              <w:rPr>
                <w:spacing w:val="-4"/>
                <w:sz w:val="20"/>
              </w:rPr>
              <w:t> </w:t>
            </w:r>
            <w:r>
              <w:rPr>
                <w:spacing w:val="-2"/>
                <w:w w:val="80"/>
                <w:sz w:val="20"/>
              </w:rPr>
              <w:t>ciencia</w:t>
            </w:r>
          </w:p>
        </w:tc>
        <w:tc>
          <w:tcPr>
            <w:tcW w:w="424" w:type="dxa"/>
          </w:tcPr>
          <w:p>
            <w:pPr>
              <w:pStyle w:val="TableParagraph"/>
              <w:spacing w:line="210" w:lineRule="exact"/>
              <w:ind w:left="108"/>
              <w:rPr>
                <w:sz w:val="20"/>
              </w:rPr>
            </w:pPr>
            <w:r>
              <w:rPr>
                <w:spacing w:val="-10"/>
                <w:sz w:val="20"/>
              </w:rPr>
              <w:t>1</w:t>
            </w:r>
          </w:p>
        </w:tc>
        <w:tc>
          <w:tcPr>
            <w:tcW w:w="426" w:type="dxa"/>
          </w:tcPr>
          <w:p>
            <w:pPr>
              <w:pStyle w:val="TableParagraph"/>
              <w:spacing w:line="210" w:lineRule="exact"/>
              <w:ind w:right="86"/>
              <w:jc w:val="center"/>
              <w:rPr>
                <w:sz w:val="20"/>
              </w:rPr>
            </w:pPr>
            <w:r>
              <w:rPr>
                <w:spacing w:val="-10"/>
                <w:sz w:val="20"/>
              </w:rPr>
              <w:t>2</w:t>
            </w:r>
          </w:p>
        </w:tc>
        <w:tc>
          <w:tcPr>
            <w:tcW w:w="426" w:type="dxa"/>
          </w:tcPr>
          <w:p>
            <w:pPr>
              <w:pStyle w:val="TableParagraph"/>
              <w:spacing w:line="210" w:lineRule="exact"/>
              <w:ind w:right="86"/>
              <w:jc w:val="center"/>
              <w:rPr>
                <w:sz w:val="20"/>
              </w:rPr>
            </w:pPr>
            <w:r>
              <w:rPr>
                <w:spacing w:val="-10"/>
                <w:sz w:val="20"/>
              </w:rPr>
              <w:t>3</w:t>
            </w:r>
          </w:p>
        </w:tc>
        <w:tc>
          <w:tcPr>
            <w:tcW w:w="424" w:type="dxa"/>
          </w:tcPr>
          <w:p>
            <w:pPr>
              <w:pStyle w:val="TableParagraph"/>
              <w:spacing w:line="210" w:lineRule="exact"/>
              <w:ind w:left="108"/>
              <w:rPr>
                <w:sz w:val="20"/>
              </w:rPr>
            </w:pPr>
            <w:r>
              <w:rPr>
                <w:spacing w:val="-10"/>
                <w:sz w:val="20"/>
              </w:rPr>
              <w:t>4</w:t>
            </w:r>
          </w:p>
        </w:tc>
        <w:tc>
          <w:tcPr>
            <w:tcW w:w="426" w:type="dxa"/>
          </w:tcPr>
          <w:p>
            <w:pPr>
              <w:pStyle w:val="TableParagraph"/>
              <w:spacing w:line="210" w:lineRule="exact"/>
              <w:ind w:right="86"/>
              <w:jc w:val="center"/>
              <w:rPr>
                <w:sz w:val="20"/>
              </w:rPr>
            </w:pPr>
            <w:r>
              <w:rPr>
                <w:spacing w:val="-10"/>
                <w:sz w:val="20"/>
              </w:rPr>
              <w:t>5</w:t>
            </w:r>
          </w:p>
        </w:tc>
      </w:tr>
      <w:tr>
        <w:trPr>
          <w:trHeight w:val="460" w:hRule="atLeast"/>
        </w:trPr>
        <w:tc>
          <w:tcPr>
            <w:tcW w:w="2110" w:type="dxa"/>
          </w:tcPr>
          <w:p>
            <w:pPr>
              <w:pStyle w:val="TableParagraph"/>
              <w:tabs>
                <w:tab w:pos="466" w:val="left" w:leader="none"/>
              </w:tabs>
              <w:ind w:left="107"/>
              <w:rPr>
                <w:sz w:val="20"/>
              </w:rPr>
            </w:pPr>
            <w:r>
              <w:rPr>
                <w:spacing w:val="-5"/>
                <w:w w:val="90"/>
                <w:sz w:val="20"/>
              </w:rPr>
              <w:t>4.</w:t>
            </w:r>
            <w:r>
              <w:rPr>
                <w:sz w:val="20"/>
              </w:rPr>
              <w:tab/>
            </w:r>
            <w:r>
              <w:rPr>
                <w:spacing w:val="-2"/>
                <w:w w:val="90"/>
                <w:sz w:val="20"/>
              </w:rPr>
              <w:t>ORGANIZACIÓN</w:t>
            </w:r>
          </w:p>
        </w:tc>
        <w:tc>
          <w:tcPr>
            <w:tcW w:w="3828" w:type="dxa"/>
          </w:tcPr>
          <w:p>
            <w:pPr>
              <w:pStyle w:val="TableParagraph"/>
              <w:spacing w:line="230" w:lineRule="atLeast"/>
              <w:ind w:left="107"/>
              <w:rPr>
                <w:sz w:val="20"/>
              </w:rPr>
            </w:pPr>
            <w:r>
              <w:rPr>
                <w:w w:val="85"/>
                <w:sz w:val="20"/>
              </w:rPr>
              <w:t>Existe</w:t>
            </w:r>
            <w:r>
              <w:rPr>
                <w:spacing w:val="-2"/>
                <w:w w:val="85"/>
                <w:sz w:val="20"/>
              </w:rPr>
              <w:t> </w:t>
            </w:r>
            <w:r>
              <w:rPr>
                <w:w w:val="85"/>
                <w:sz w:val="20"/>
              </w:rPr>
              <w:t>una</w:t>
            </w:r>
            <w:r>
              <w:rPr>
                <w:spacing w:val="-2"/>
                <w:w w:val="85"/>
                <w:sz w:val="20"/>
              </w:rPr>
              <w:t> </w:t>
            </w:r>
            <w:r>
              <w:rPr>
                <w:w w:val="85"/>
                <w:sz w:val="20"/>
              </w:rPr>
              <w:t>organización</w:t>
            </w:r>
            <w:r>
              <w:rPr>
                <w:spacing w:val="-2"/>
                <w:w w:val="85"/>
                <w:sz w:val="20"/>
              </w:rPr>
              <w:t> </w:t>
            </w:r>
            <w:r>
              <w:rPr>
                <w:w w:val="85"/>
                <w:sz w:val="20"/>
              </w:rPr>
              <w:t>lógica</w:t>
            </w:r>
            <w:r>
              <w:rPr>
                <w:spacing w:val="-2"/>
                <w:w w:val="85"/>
                <w:sz w:val="20"/>
              </w:rPr>
              <w:t> </w:t>
            </w:r>
            <w:r>
              <w:rPr>
                <w:w w:val="85"/>
                <w:sz w:val="20"/>
              </w:rPr>
              <w:t>de</w:t>
            </w:r>
            <w:r>
              <w:rPr>
                <w:spacing w:val="-2"/>
                <w:w w:val="85"/>
                <w:sz w:val="20"/>
              </w:rPr>
              <w:t> </w:t>
            </w:r>
            <w:r>
              <w:rPr>
                <w:w w:val="85"/>
                <w:sz w:val="20"/>
              </w:rPr>
              <w:t>los</w:t>
            </w:r>
            <w:r>
              <w:rPr>
                <w:spacing w:val="-2"/>
                <w:w w:val="85"/>
                <w:sz w:val="20"/>
              </w:rPr>
              <w:t> </w:t>
            </w:r>
            <w:r>
              <w:rPr>
                <w:w w:val="85"/>
                <w:sz w:val="20"/>
              </w:rPr>
              <w:t>ítems con </w:t>
            </w:r>
            <w:r>
              <w:rPr>
                <w:w w:val="90"/>
                <w:sz w:val="20"/>
              </w:rPr>
              <w:t>las variables.</w:t>
            </w:r>
          </w:p>
        </w:tc>
        <w:tc>
          <w:tcPr>
            <w:tcW w:w="424" w:type="dxa"/>
          </w:tcPr>
          <w:p>
            <w:pPr>
              <w:pStyle w:val="TableParagraph"/>
              <w:ind w:left="108"/>
              <w:rPr>
                <w:sz w:val="20"/>
              </w:rPr>
            </w:pPr>
            <w:r>
              <w:rPr>
                <w:spacing w:val="-10"/>
                <w:sz w:val="20"/>
              </w:rPr>
              <w:t>1</w:t>
            </w:r>
          </w:p>
        </w:tc>
        <w:tc>
          <w:tcPr>
            <w:tcW w:w="426" w:type="dxa"/>
          </w:tcPr>
          <w:p>
            <w:pPr>
              <w:pStyle w:val="TableParagraph"/>
              <w:ind w:right="86"/>
              <w:jc w:val="center"/>
              <w:rPr>
                <w:sz w:val="20"/>
              </w:rPr>
            </w:pPr>
            <w:r>
              <w:rPr>
                <w:spacing w:val="-10"/>
                <w:sz w:val="20"/>
              </w:rPr>
              <w:t>2</w:t>
            </w:r>
          </w:p>
        </w:tc>
        <w:tc>
          <w:tcPr>
            <w:tcW w:w="426" w:type="dxa"/>
          </w:tcPr>
          <w:p>
            <w:pPr>
              <w:pStyle w:val="TableParagraph"/>
              <w:ind w:right="86"/>
              <w:jc w:val="center"/>
              <w:rPr>
                <w:sz w:val="20"/>
              </w:rPr>
            </w:pPr>
            <w:r>
              <w:rPr>
                <w:spacing w:val="-10"/>
                <w:sz w:val="20"/>
              </w:rPr>
              <w:t>3</w:t>
            </w:r>
          </w:p>
        </w:tc>
        <w:tc>
          <w:tcPr>
            <w:tcW w:w="424" w:type="dxa"/>
          </w:tcPr>
          <w:p>
            <w:pPr>
              <w:pStyle w:val="TableParagraph"/>
              <w:ind w:left="108"/>
              <w:rPr>
                <w:sz w:val="20"/>
              </w:rPr>
            </w:pPr>
            <w:r>
              <w:rPr>
                <w:spacing w:val="-10"/>
                <w:sz w:val="20"/>
              </w:rPr>
              <w:t>4</w:t>
            </w:r>
          </w:p>
        </w:tc>
        <w:tc>
          <w:tcPr>
            <w:tcW w:w="426" w:type="dxa"/>
          </w:tcPr>
          <w:p>
            <w:pPr>
              <w:pStyle w:val="TableParagraph"/>
              <w:ind w:right="86"/>
              <w:jc w:val="center"/>
              <w:rPr>
                <w:sz w:val="20"/>
              </w:rPr>
            </w:pPr>
            <w:r>
              <w:rPr>
                <w:spacing w:val="-10"/>
                <w:sz w:val="20"/>
              </w:rPr>
              <w:t>5</w:t>
            </w:r>
          </w:p>
        </w:tc>
      </w:tr>
      <w:tr>
        <w:trPr>
          <w:trHeight w:val="458" w:hRule="atLeast"/>
        </w:trPr>
        <w:tc>
          <w:tcPr>
            <w:tcW w:w="2110" w:type="dxa"/>
          </w:tcPr>
          <w:p>
            <w:pPr>
              <w:pStyle w:val="TableParagraph"/>
              <w:tabs>
                <w:tab w:pos="466" w:val="left" w:leader="none"/>
              </w:tabs>
              <w:spacing w:line="228" w:lineRule="exact"/>
              <w:ind w:left="107"/>
              <w:rPr>
                <w:sz w:val="20"/>
              </w:rPr>
            </w:pPr>
            <w:r>
              <w:rPr>
                <w:spacing w:val="-5"/>
                <w:w w:val="90"/>
                <w:sz w:val="20"/>
              </w:rPr>
              <w:t>5.</w:t>
            </w:r>
            <w:r>
              <w:rPr>
                <w:sz w:val="20"/>
              </w:rPr>
              <w:tab/>
            </w:r>
            <w:r>
              <w:rPr>
                <w:spacing w:val="-2"/>
                <w:w w:val="90"/>
                <w:sz w:val="20"/>
              </w:rPr>
              <w:t>SUFICIENCIA</w:t>
            </w:r>
          </w:p>
        </w:tc>
        <w:tc>
          <w:tcPr>
            <w:tcW w:w="3828" w:type="dxa"/>
          </w:tcPr>
          <w:p>
            <w:pPr>
              <w:pStyle w:val="TableParagraph"/>
              <w:spacing w:line="230" w:lineRule="exact"/>
              <w:ind w:left="107"/>
              <w:rPr>
                <w:sz w:val="20"/>
              </w:rPr>
            </w:pPr>
            <w:r>
              <w:rPr>
                <w:w w:val="85"/>
                <w:sz w:val="20"/>
              </w:rPr>
              <w:t>Valora</w:t>
            </w:r>
            <w:r>
              <w:rPr>
                <w:spacing w:val="20"/>
                <w:sz w:val="20"/>
              </w:rPr>
              <w:t> </w:t>
            </w:r>
            <w:r>
              <w:rPr>
                <w:w w:val="85"/>
                <w:sz w:val="20"/>
              </w:rPr>
              <w:t>las</w:t>
            </w:r>
            <w:r>
              <w:rPr>
                <w:spacing w:val="20"/>
                <w:sz w:val="20"/>
              </w:rPr>
              <w:t> </w:t>
            </w:r>
            <w:r>
              <w:rPr>
                <w:w w:val="85"/>
                <w:sz w:val="20"/>
              </w:rPr>
              <w:t>dimensiones</w:t>
            </w:r>
            <w:r>
              <w:rPr>
                <w:spacing w:val="19"/>
                <w:sz w:val="20"/>
              </w:rPr>
              <w:t> </w:t>
            </w:r>
            <w:r>
              <w:rPr>
                <w:w w:val="85"/>
                <w:sz w:val="20"/>
              </w:rPr>
              <w:t>en</w:t>
            </w:r>
            <w:r>
              <w:rPr>
                <w:spacing w:val="20"/>
                <w:sz w:val="20"/>
              </w:rPr>
              <w:t> </w:t>
            </w:r>
            <w:r>
              <w:rPr>
                <w:w w:val="85"/>
                <w:sz w:val="20"/>
              </w:rPr>
              <w:t>cantidad</w:t>
            </w:r>
            <w:r>
              <w:rPr>
                <w:spacing w:val="20"/>
                <w:sz w:val="20"/>
              </w:rPr>
              <w:t> </w:t>
            </w:r>
            <w:r>
              <w:rPr>
                <w:w w:val="85"/>
                <w:sz w:val="20"/>
              </w:rPr>
              <w:t>y</w:t>
            </w:r>
            <w:r>
              <w:rPr>
                <w:spacing w:val="19"/>
                <w:sz w:val="20"/>
              </w:rPr>
              <w:t> </w:t>
            </w:r>
            <w:r>
              <w:rPr>
                <w:w w:val="85"/>
                <w:sz w:val="20"/>
              </w:rPr>
              <w:t>calidad </w:t>
            </w:r>
            <w:r>
              <w:rPr>
                <w:spacing w:val="-2"/>
                <w:w w:val="90"/>
                <w:sz w:val="20"/>
              </w:rPr>
              <w:t>suficientes</w:t>
            </w:r>
          </w:p>
        </w:tc>
        <w:tc>
          <w:tcPr>
            <w:tcW w:w="424" w:type="dxa"/>
          </w:tcPr>
          <w:p>
            <w:pPr>
              <w:pStyle w:val="TableParagraph"/>
              <w:ind w:left="108"/>
              <w:rPr>
                <w:sz w:val="20"/>
              </w:rPr>
            </w:pPr>
            <w:r>
              <w:rPr>
                <w:spacing w:val="-10"/>
                <w:sz w:val="20"/>
              </w:rPr>
              <w:t>1</w:t>
            </w:r>
          </w:p>
        </w:tc>
        <w:tc>
          <w:tcPr>
            <w:tcW w:w="426" w:type="dxa"/>
          </w:tcPr>
          <w:p>
            <w:pPr>
              <w:pStyle w:val="TableParagraph"/>
              <w:ind w:right="86"/>
              <w:jc w:val="center"/>
              <w:rPr>
                <w:sz w:val="20"/>
              </w:rPr>
            </w:pPr>
            <w:r>
              <w:rPr>
                <w:spacing w:val="-10"/>
                <w:sz w:val="20"/>
              </w:rPr>
              <w:t>2</w:t>
            </w:r>
          </w:p>
        </w:tc>
        <w:tc>
          <w:tcPr>
            <w:tcW w:w="426" w:type="dxa"/>
          </w:tcPr>
          <w:p>
            <w:pPr>
              <w:pStyle w:val="TableParagraph"/>
              <w:ind w:right="86"/>
              <w:jc w:val="center"/>
              <w:rPr>
                <w:sz w:val="20"/>
              </w:rPr>
            </w:pPr>
            <w:r>
              <w:rPr>
                <w:spacing w:val="-10"/>
                <w:sz w:val="20"/>
              </w:rPr>
              <w:t>3</w:t>
            </w:r>
          </w:p>
        </w:tc>
        <w:tc>
          <w:tcPr>
            <w:tcW w:w="424" w:type="dxa"/>
          </w:tcPr>
          <w:p>
            <w:pPr>
              <w:pStyle w:val="TableParagraph"/>
              <w:ind w:left="108"/>
              <w:rPr>
                <w:sz w:val="20"/>
              </w:rPr>
            </w:pPr>
            <w:r>
              <w:rPr>
                <w:spacing w:val="-10"/>
                <w:sz w:val="20"/>
              </w:rPr>
              <w:t>4</w:t>
            </w:r>
          </w:p>
        </w:tc>
        <w:tc>
          <w:tcPr>
            <w:tcW w:w="426" w:type="dxa"/>
          </w:tcPr>
          <w:p>
            <w:pPr>
              <w:pStyle w:val="TableParagraph"/>
              <w:ind w:right="86"/>
              <w:jc w:val="center"/>
              <w:rPr>
                <w:sz w:val="20"/>
              </w:rPr>
            </w:pPr>
            <w:r>
              <w:rPr>
                <w:spacing w:val="-10"/>
                <w:sz w:val="20"/>
              </w:rPr>
              <w:t>5</w:t>
            </w:r>
          </w:p>
        </w:tc>
      </w:tr>
      <w:tr>
        <w:trPr>
          <w:trHeight w:val="458" w:hRule="atLeast"/>
        </w:trPr>
        <w:tc>
          <w:tcPr>
            <w:tcW w:w="2110" w:type="dxa"/>
          </w:tcPr>
          <w:p>
            <w:pPr>
              <w:pStyle w:val="TableParagraph"/>
              <w:tabs>
                <w:tab w:pos="466" w:val="left" w:leader="none"/>
              </w:tabs>
              <w:spacing w:line="228" w:lineRule="exact"/>
              <w:ind w:left="107"/>
              <w:rPr>
                <w:sz w:val="20"/>
              </w:rPr>
            </w:pPr>
            <w:r>
              <w:rPr>
                <w:spacing w:val="-5"/>
                <w:w w:val="90"/>
                <w:sz w:val="20"/>
              </w:rPr>
              <w:t>6.</w:t>
            </w:r>
            <w:r>
              <w:rPr>
                <w:sz w:val="20"/>
              </w:rPr>
              <w:tab/>
            </w:r>
            <w:r>
              <w:rPr>
                <w:spacing w:val="-2"/>
                <w:w w:val="85"/>
                <w:sz w:val="20"/>
              </w:rPr>
              <w:t>INTENCIONALIDAD</w:t>
            </w:r>
          </w:p>
        </w:tc>
        <w:tc>
          <w:tcPr>
            <w:tcW w:w="3828" w:type="dxa"/>
          </w:tcPr>
          <w:p>
            <w:pPr>
              <w:pStyle w:val="TableParagraph"/>
              <w:spacing w:line="230" w:lineRule="exact"/>
              <w:ind w:left="107"/>
              <w:rPr>
                <w:sz w:val="20"/>
              </w:rPr>
            </w:pPr>
            <w:r>
              <w:rPr>
                <w:w w:val="90"/>
                <w:sz w:val="20"/>
              </w:rPr>
              <w:t>Adecuado</w:t>
            </w:r>
            <w:r>
              <w:rPr>
                <w:spacing w:val="36"/>
                <w:sz w:val="20"/>
              </w:rPr>
              <w:t> </w:t>
            </w:r>
            <w:r>
              <w:rPr>
                <w:w w:val="90"/>
                <w:sz w:val="20"/>
              </w:rPr>
              <w:t>para</w:t>
            </w:r>
            <w:r>
              <w:rPr>
                <w:spacing w:val="36"/>
                <w:sz w:val="20"/>
              </w:rPr>
              <w:t> </w:t>
            </w:r>
            <w:r>
              <w:rPr>
                <w:w w:val="90"/>
                <w:sz w:val="20"/>
              </w:rPr>
              <w:t>cumplir</w:t>
            </w:r>
            <w:r>
              <w:rPr>
                <w:spacing w:val="35"/>
                <w:sz w:val="20"/>
              </w:rPr>
              <w:t> </w:t>
            </w:r>
            <w:r>
              <w:rPr>
                <w:w w:val="90"/>
                <w:sz w:val="20"/>
              </w:rPr>
              <w:t>los</w:t>
            </w:r>
            <w:r>
              <w:rPr>
                <w:spacing w:val="36"/>
                <w:sz w:val="20"/>
              </w:rPr>
              <w:t> </w:t>
            </w:r>
            <w:r>
              <w:rPr>
                <w:w w:val="90"/>
                <w:sz w:val="20"/>
              </w:rPr>
              <w:t>objetivos</w:t>
            </w:r>
            <w:r>
              <w:rPr>
                <w:spacing w:val="37"/>
                <w:sz w:val="20"/>
              </w:rPr>
              <w:t> </w:t>
            </w:r>
            <w:r>
              <w:rPr>
                <w:w w:val="90"/>
                <w:sz w:val="20"/>
              </w:rPr>
              <w:t>de</w:t>
            </w:r>
            <w:r>
              <w:rPr>
                <w:spacing w:val="36"/>
                <w:sz w:val="20"/>
              </w:rPr>
              <w:t> </w:t>
            </w:r>
            <w:r>
              <w:rPr>
                <w:w w:val="90"/>
                <w:sz w:val="20"/>
              </w:rPr>
              <w:t>la </w:t>
            </w:r>
            <w:r>
              <w:rPr>
                <w:spacing w:val="-2"/>
                <w:w w:val="90"/>
                <w:sz w:val="20"/>
              </w:rPr>
              <w:t>investigación</w:t>
            </w:r>
          </w:p>
        </w:tc>
        <w:tc>
          <w:tcPr>
            <w:tcW w:w="424" w:type="dxa"/>
          </w:tcPr>
          <w:p>
            <w:pPr>
              <w:pStyle w:val="TableParagraph"/>
              <w:spacing w:line="228" w:lineRule="exact"/>
              <w:ind w:left="108"/>
              <w:rPr>
                <w:sz w:val="20"/>
              </w:rPr>
            </w:pPr>
            <w:r>
              <w:rPr>
                <w:spacing w:val="-10"/>
                <w:sz w:val="20"/>
              </w:rPr>
              <w:t>1</w:t>
            </w:r>
          </w:p>
        </w:tc>
        <w:tc>
          <w:tcPr>
            <w:tcW w:w="426" w:type="dxa"/>
          </w:tcPr>
          <w:p>
            <w:pPr>
              <w:pStyle w:val="TableParagraph"/>
              <w:spacing w:line="228" w:lineRule="exact"/>
              <w:ind w:right="86"/>
              <w:jc w:val="center"/>
              <w:rPr>
                <w:sz w:val="20"/>
              </w:rPr>
            </w:pPr>
            <w:r>
              <w:rPr>
                <w:spacing w:val="-10"/>
                <w:sz w:val="20"/>
              </w:rPr>
              <w:t>2</w:t>
            </w:r>
          </w:p>
        </w:tc>
        <w:tc>
          <w:tcPr>
            <w:tcW w:w="426" w:type="dxa"/>
          </w:tcPr>
          <w:p>
            <w:pPr>
              <w:pStyle w:val="TableParagraph"/>
              <w:spacing w:line="228" w:lineRule="exact"/>
              <w:ind w:right="86"/>
              <w:jc w:val="center"/>
              <w:rPr>
                <w:sz w:val="20"/>
              </w:rPr>
            </w:pPr>
            <w:r>
              <w:rPr>
                <w:spacing w:val="-10"/>
                <w:sz w:val="20"/>
              </w:rPr>
              <w:t>3</w:t>
            </w:r>
          </w:p>
        </w:tc>
        <w:tc>
          <w:tcPr>
            <w:tcW w:w="424" w:type="dxa"/>
          </w:tcPr>
          <w:p>
            <w:pPr>
              <w:pStyle w:val="TableParagraph"/>
              <w:spacing w:line="228" w:lineRule="exact"/>
              <w:ind w:left="108"/>
              <w:rPr>
                <w:sz w:val="20"/>
              </w:rPr>
            </w:pPr>
            <w:r>
              <w:rPr>
                <w:spacing w:val="-10"/>
                <w:sz w:val="20"/>
              </w:rPr>
              <w:t>4</w:t>
            </w:r>
          </w:p>
        </w:tc>
        <w:tc>
          <w:tcPr>
            <w:tcW w:w="426" w:type="dxa"/>
          </w:tcPr>
          <w:p>
            <w:pPr>
              <w:pStyle w:val="TableParagraph"/>
              <w:spacing w:line="228" w:lineRule="exact"/>
              <w:ind w:right="86"/>
              <w:jc w:val="center"/>
              <w:rPr>
                <w:sz w:val="20"/>
              </w:rPr>
            </w:pPr>
            <w:r>
              <w:rPr>
                <w:spacing w:val="-10"/>
                <w:sz w:val="20"/>
              </w:rPr>
              <w:t>5</w:t>
            </w:r>
          </w:p>
        </w:tc>
      </w:tr>
      <w:tr>
        <w:trPr>
          <w:trHeight w:val="228" w:hRule="atLeast"/>
        </w:trPr>
        <w:tc>
          <w:tcPr>
            <w:tcW w:w="2110" w:type="dxa"/>
          </w:tcPr>
          <w:p>
            <w:pPr>
              <w:pStyle w:val="TableParagraph"/>
              <w:tabs>
                <w:tab w:pos="466" w:val="left" w:leader="none"/>
              </w:tabs>
              <w:spacing w:line="208" w:lineRule="exact"/>
              <w:ind w:left="107"/>
              <w:rPr>
                <w:sz w:val="20"/>
              </w:rPr>
            </w:pPr>
            <w:r>
              <w:rPr>
                <w:spacing w:val="-5"/>
                <w:w w:val="90"/>
                <w:sz w:val="20"/>
              </w:rPr>
              <w:t>7.</w:t>
            </w:r>
            <w:r>
              <w:rPr>
                <w:sz w:val="20"/>
              </w:rPr>
              <w:tab/>
            </w:r>
            <w:r>
              <w:rPr>
                <w:spacing w:val="-2"/>
                <w:w w:val="90"/>
                <w:sz w:val="20"/>
              </w:rPr>
              <w:t>CONSISTENCIA</w:t>
            </w:r>
          </w:p>
        </w:tc>
        <w:tc>
          <w:tcPr>
            <w:tcW w:w="3828" w:type="dxa"/>
          </w:tcPr>
          <w:p>
            <w:pPr>
              <w:pStyle w:val="TableParagraph"/>
              <w:spacing w:line="208" w:lineRule="exact"/>
              <w:ind w:left="107"/>
              <w:rPr>
                <w:sz w:val="20"/>
              </w:rPr>
            </w:pPr>
            <w:r>
              <w:rPr>
                <w:w w:val="80"/>
                <w:sz w:val="20"/>
              </w:rPr>
              <w:t>Está</w:t>
            </w:r>
            <w:r>
              <w:rPr>
                <w:spacing w:val="-3"/>
                <w:sz w:val="20"/>
              </w:rPr>
              <w:t> </w:t>
            </w:r>
            <w:r>
              <w:rPr>
                <w:w w:val="80"/>
                <w:sz w:val="20"/>
              </w:rPr>
              <w:t>basado</w:t>
            </w:r>
            <w:r>
              <w:rPr>
                <w:spacing w:val="-6"/>
                <w:sz w:val="20"/>
              </w:rPr>
              <w:t> </w:t>
            </w:r>
            <w:r>
              <w:rPr>
                <w:w w:val="80"/>
                <w:sz w:val="20"/>
              </w:rPr>
              <w:t>en</w:t>
            </w:r>
            <w:r>
              <w:rPr>
                <w:spacing w:val="-5"/>
                <w:sz w:val="20"/>
              </w:rPr>
              <w:t> </w:t>
            </w:r>
            <w:r>
              <w:rPr>
                <w:w w:val="80"/>
                <w:sz w:val="20"/>
              </w:rPr>
              <w:t>aspectos</w:t>
            </w:r>
            <w:r>
              <w:rPr>
                <w:spacing w:val="-4"/>
                <w:sz w:val="20"/>
              </w:rPr>
              <w:t> </w:t>
            </w:r>
            <w:r>
              <w:rPr>
                <w:w w:val="80"/>
                <w:sz w:val="20"/>
              </w:rPr>
              <w:t>teóricos</w:t>
            </w:r>
            <w:r>
              <w:rPr>
                <w:spacing w:val="-4"/>
                <w:sz w:val="20"/>
              </w:rPr>
              <w:t> </w:t>
            </w:r>
            <w:r>
              <w:rPr>
                <w:w w:val="80"/>
                <w:sz w:val="20"/>
              </w:rPr>
              <w:t>y</w:t>
            </w:r>
            <w:r>
              <w:rPr>
                <w:sz w:val="20"/>
              </w:rPr>
              <w:t> </w:t>
            </w:r>
            <w:r>
              <w:rPr>
                <w:spacing w:val="-2"/>
                <w:w w:val="80"/>
                <w:sz w:val="20"/>
              </w:rPr>
              <w:t>científicos</w:t>
            </w:r>
          </w:p>
        </w:tc>
        <w:tc>
          <w:tcPr>
            <w:tcW w:w="424" w:type="dxa"/>
          </w:tcPr>
          <w:p>
            <w:pPr>
              <w:pStyle w:val="TableParagraph"/>
              <w:spacing w:line="208" w:lineRule="exact"/>
              <w:ind w:left="108"/>
              <w:rPr>
                <w:sz w:val="20"/>
              </w:rPr>
            </w:pPr>
            <w:r>
              <w:rPr>
                <w:spacing w:val="-10"/>
                <w:sz w:val="20"/>
              </w:rPr>
              <w:t>1</w:t>
            </w:r>
          </w:p>
        </w:tc>
        <w:tc>
          <w:tcPr>
            <w:tcW w:w="426" w:type="dxa"/>
          </w:tcPr>
          <w:p>
            <w:pPr>
              <w:pStyle w:val="TableParagraph"/>
              <w:spacing w:line="208" w:lineRule="exact"/>
              <w:ind w:right="86"/>
              <w:jc w:val="center"/>
              <w:rPr>
                <w:sz w:val="20"/>
              </w:rPr>
            </w:pPr>
            <w:r>
              <w:rPr>
                <w:spacing w:val="-10"/>
                <w:sz w:val="20"/>
              </w:rPr>
              <w:t>2</w:t>
            </w:r>
          </w:p>
        </w:tc>
        <w:tc>
          <w:tcPr>
            <w:tcW w:w="426" w:type="dxa"/>
          </w:tcPr>
          <w:p>
            <w:pPr>
              <w:pStyle w:val="TableParagraph"/>
              <w:spacing w:line="208" w:lineRule="exact"/>
              <w:ind w:right="86"/>
              <w:jc w:val="center"/>
              <w:rPr>
                <w:sz w:val="20"/>
              </w:rPr>
            </w:pPr>
            <w:r>
              <w:rPr>
                <w:spacing w:val="-10"/>
                <w:sz w:val="20"/>
              </w:rPr>
              <w:t>3</w:t>
            </w:r>
          </w:p>
        </w:tc>
        <w:tc>
          <w:tcPr>
            <w:tcW w:w="424" w:type="dxa"/>
          </w:tcPr>
          <w:p>
            <w:pPr>
              <w:pStyle w:val="TableParagraph"/>
              <w:spacing w:line="208" w:lineRule="exact"/>
              <w:ind w:left="108"/>
              <w:rPr>
                <w:sz w:val="20"/>
              </w:rPr>
            </w:pPr>
            <w:r>
              <w:rPr>
                <w:spacing w:val="-10"/>
                <w:sz w:val="20"/>
              </w:rPr>
              <w:t>4</w:t>
            </w:r>
          </w:p>
        </w:tc>
        <w:tc>
          <w:tcPr>
            <w:tcW w:w="426" w:type="dxa"/>
          </w:tcPr>
          <w:p>
            <w:pPr>
              <w:pStyle w:val="TableParagraph"/>
              <w:spacing w:line="208" w:lineRule="exact"/>
              <w:ind w:right="86"/>
              <w:jc w:val="center"/>
              <w:rPr>
                <w:sz w:val="20"/>
              </w:rPr>
            </w:pPr>
            <w:r>
              <w:rPr>
                <w:spacing w:val="-10"/>
                <w:sz w:val="20"/>
              </w:rPr>
              <w:t>5</w:t>
            </w:r>
          </w:p>
        </w:tc>
      </w:tr>
      <w:tr>
        <w:trPr>
          <w:trHeight w:val="457" w:hRule="atLeast"/>
        </w:trPr>
        <w:tc>
          <w:tcPr>
            <w:tcW w:w="2110" w:type="dxa"/>
          </w:tcPr>
          <w:p>
            <w:pPr>
              <w:pStyle w:val="TableParagraph"/>
              <w:tabs>
                <w:tab w:pos="466" w:val="left" w:leader="none"/>
              </w:tabs>
              <w:spacing w:line="228" w:lineRule="exact"/>
              <w:ind w:left="107"/>
              <w:rPr>
                <w:sz w:val="20"/>
              </w:rPr>
            </w:pPr>
            <w:r>
              <w:rPr>
                <w:spacing w:val="-5"/>
                <w:w w:val="90"/>
                <w:sz w:val="20"/>
              </w:rPr>
              <w:t>8.</w:t>
            </w:r>
            <w:r>
              <w:rPr>
                <w:sz w:val="20"/>
              </w:rPr>
              <w:tab/>
            </w:r>
            <w:r>
              <w:rPr>
                <w:spacing w:val="-2"/>
                <w:w w:val="90"/>
                <w:sz w:val="20"/>
              </w:rPr>
              <w:t>COHERENCIA</w:t>
            </w:r>
          </w:p>
        </w:tc>
        <w:tc>
          <w:tcPr>
            <w:tcW w:w="3828" w:type="dxa"/>
          </w:tcPr>
          <w:p>
            <w:pPr>
              <w:pStyle w:val="TableParagraph"/>
              <w:spacing w:line="230" w:lineRule="exact"/>
              <w:ind w:left="107" w:right="79"/>
              <w:rPr>
                <w:sz w:val="20"/>
              </w:rPr>
            </w:pPr>
            <w:r>
              <w:rPr>
                <w:w w:val="80"/>
                <w:sz w:val="20"/>
              </w:rPr>
              <w:t>Entre las dimensiones, indicadores, ítems e </w:t>
            </w:r>
            <w:r>
              <w:rPr>
                <w:spacing w:val="-2"/>
                <w:w w:val="90"/>
                <w:sz w:val="20"/>
              </w:rPr>
              <w:t>índices</w:t>
            </w:r>
          </w:p>
        </w:tc>
        <w:tc>
          <w:tcPr>
            <w:tcW w:w="424" w:type="dxa"/>
          </w:tcPr>
          <w:p>
            <w:pPr>
              <w:pStyle w:val="TableParagraph"/>
              <w:ind w:left="108"/>
              <w:rPr>
                <w:sz w:val="20"/>
              </w:rPr>
            </w:pPr>
            <w:r>
              <w:rPr>
                <w:spacing w:val="-10"/>
                <w:sz w:val="20"/>
              </w:rPr>
              <w:t>1</w:t>
            </w:r>
          </w:p>
        </w:tc>
        <w:tc>
          <w:tcPr>
            <w:tcW w:w="426" w:type="dxa"/>
          </w:tcPr>
          <w:p>
            <w:pPr>
              <w:pStyle w:val="TableParagraph"/>
              <w:ind w:right="86"/>
              <w:jc w:val="center"/>
              <w:rPr>
                <w:sz w:val="20"/>
              </w:rPr>
            </w:pPr>
            <w:r>
              <w:rPr>
                <w:spacing w:val="-10"/>
                <w:sz w:val="20"/>
              </w:rPr>
              <w:t>2</w:t>
            </w:r>
          </w:p>
        </w:tc>
        <w:tc>
          <w:tcPr>
            <w:tcW w:w="426" w:type="dxa"/>
          </w:tcPr>
          <w:p>
            <w:pPr>
              <w:pStyle w:val="TableParagraph"/>
              <w:ind w:right="86"/>
              <w:jc w:val="center"/>
              <w:rPr>
                <w:sz w:val="20"/>
              </w:rPr>
            </w:pPr>
            <w:r>
              <w:rPr>
                <w:spacing w:val="-10"/>
                <w:sz w:val="20"/>
              </w:rPr>
              <w:t>3</w:t>
            </w:r>
          </w:p>
        </w:tc>
        <w:tc>
          <w:tcPr>
            <w:tcW w:w="424" w:type="dxa"/>
          </w:tcPr>
          <w:p>
            <w:pPr>
              <w:pStyle w:val="TableParagraph"/>
              <w:ind w:left="108"/>
              <w:rPr>
                <w:sz w:val="20"/>
              </w:rPr>
            </w:pPr>
            <w:r>
              <w:rPr>
                <w:spacing w:val="-10"/>
                <w:sz w:val="20"/>
              </w:rPr>
              <w:t>4</w:t>
            </w:r>
          </w:p>
        </w:tc>
        <w:tc>
          <w:tcPr>
            <w:tcW w:w="426" w:type="dxa"/>
          </w:tcPr>
          <w:p>
            <w:pPr>
              <w:pStyle w:val="TableParagraph"/>
              <w:ind w:right="86"/>
              <w:jc w:val="center"/>
              <w:rPr>
                <w:sz w:val="20"/>
              </w:rPr>
            </w:pPr>
            <w:r>
              <w:rPr>
                <w:spacing w:val="-10"/>
                <w:sz w:val="20"/>
              </w:rPr>
              <w:t>5</w:t>
            </w:r>
          </w:p>
        </w:tc>
      </w:tr>
      <w:tr>
        <w:trPr>
          <w:trHeight w:val="458" w:hRule="atLeast"/>
        </w:trPr>
        <w:tc>
          <w:tcPr>
            <w:tcW w:w="2110" w:type="dxa"/>
          </w:tcPr>
          <w:p>
            <w:pPr>
              <w:pStyle w:val="TableParagraph"/>
              <w:tabs>
                <w:tab w:pos="466" w:val="left" w:leader="none"/>
              </w:tabs>
              <w:spacing w:line="228" w:lineRule="exact"/>
              <w:ind w:left="107"/>
              <w:rPr>
                <w:sz w:val="20"/>
              </w:rPr>
            </w:pPr>
            <w:r>
              <w:rPr>
                <w:spacing w:val="-5"/>
                <w:w w:val="90"/>
                <w:sz w:val="20"/>
              </w:rPr>
              <w:t>9.</w:t>
            </w:r>
            <w:r>
              <w:rPr>
                <w:sz w:val="20"/>
              </w:rPr>
              <w:tab/>
            </w:r>
            <w:r>
              <w:rPr>
                <w:spacing w:val="-2"/>
                <w:w w:val="90"/>
                <w:sz w:val="20"/>
              </w:rPr>
              <w:t>METODOLOGÍA</w:t>
            </w:r>
          </w:p>
        </w:tc>
        <w:tc>
          <w:tcPr>
            <w:tcW w:w="3828" w:type="dxa"/>
          </w:tcPr>
          <w:p>
            <w:pPr>
              <w:pStyle w:val="TableParagraph"/>
              <w:spacing w:line="230" w:lineRule="exact"/>
              <w:ind w:left="107" w:right="739"/>
              <w:rPr>
                <w:sz w:val="20"/>
              </w:rPr>
            </w:pPr>
            <w:r>
              <w:rPr>
                <w:w w:val="80"/>
                <w:sz w:val="20"/>
              </w:rPr>
              <w:t>La estrategia responde al propósito de la </w:t>
            </w:r>
            <w:r>
              <w:rPr>
                <w:spacing w:val="-2"/>
                <w:w w:val="90"/>
                <w:sz w:val="20"/>
              </w:rPr>
              <w:t>investigación</w:t>
            </w:r>
          </w:p>
        </w:tc>
        <w:tc>
          <w:tcPr>
            <w:tcW w:w="424" w:type="dxa"/>
          </w:tcPr>
          <w:p>
            <w:pPr>
              <w:pStyle w:val="TableParagraph"/>
              <w:spacing w:line="228" w:lineRule="exact"/>
              <w:ind w:left="108"/>
              <w:rPr>
                <w:sz w:val="20"/>
              </w:rPr>
            </w:pPr>
            <w:r>
              <w:rPr>
                <w:spacing w:val="-10"/>
                <w:sz w:val="20"/>
              </w:rPr>
              <w:t>1</w:t>
            </w:r>
          </w:p>
        </w:tc>
        <w:tc>
          <w:tcPr>
            <w:tcW w:w="426" w:type="dxa"/>
          </w:tcPr>
          <w:p>
            <w:pPr>
              <w:pStyle w:val="TableParagraph"/>
              <w:spacing w:line="228" w:lineRule="exact"/>
              <w:ind w:right="86"/>
              <w:jc w:val="center"/>
              <w:rPr>
                <w:sz w:val="20"/>
              </w:rPr>
            </w:pPr>
            <w:r>
              <w:rPr>
                <w:spacing w:val="-10"/>
                <w:sz w:val="20"/>
              </w:rPr>
              <w:t>2</w:t>
            </w:r>
          </w:p>
        </w:tc>
        <w:tc>
          <w:tcPr>
            <w:tcW w:w="426" w:type="dxa"/>
          </w:tcPr>
          <w:p>
            <w:pPr>
              <w:pStyle w:val="TableParagraph"/>
              <w:spacing w:line="228" w:lineRule="exact"/>
              <w:ind w:right="86"/>
              <w:jc w:val="center"/>
              <w:rPr>
                <w:sz w:val="20"/>
              </w:rPr>
            </w:pPr>
            <w:r>
              <w:rPr>
                <w:spacing w:val="-10"/>
                <w:sz w:val="20"/>
              </w:rPr>
              <w:t>3</w:t>
            </w:r>
          </w:p>
        </w:tc>
        <w:tc>
          <w:tcPr>
            <w:tcW w:w="424" w:type="dxa"/>
          </w:tcPr>
          <w:p>
            <w:pPr>
              <w:pStyle w:val="TableParagraph"/>
              <w:spacing w:line="228" w:lineRule="exact"/>
              <w:ind w:left="108"/>
              <w:rPr>
                <w:sz w:val="20"/>
              </w:rPr>
            </w:pPr>
            <w:r>
              <w:rPr>
                <w:spacing w:val="-10"/>
                <w:sz w:val="20"/>
              </w:rPr>
              <w:t>4</w:t>
            </w:r>
          </w:p>
        </w:tc>
        <w:tc>
          <w:tcPr>
            <w:tcW w:w="426" w:type="dxa"/>
          </w:tcPr>
          <w:p>
            <w:pPr>
              <w:pStyle w:val="TableParagraph"/>
              <w:spacing w:line="228" w:lineRule="exact"/>
              <w:ind w:right="86"/>
              <w:jc w:val="center"/>
              <w:rPr>
                <w:sz w:val="20"/>
              </w:rPr>
            </w:pPr>
            <w:r>
              <w:rPr>
                <w:spacing w:val="-10"/>
                <w:sz w:val="20"/>
              </w:rPr>
              <w:t>5</w:t>
            </w:r>
          </w:p>
        </w:tc>
      </w:tr>
      <w:tr>
        <w:trPr>
          <w:trHeight w:val="455" w:hRule="atLeast"/>
        </w:trPr>
        <w:tc>
          <w:tcPr>
            <w:tcW w:w="2110" w:type="dxa"/>
          </w:tcPr>
          <w:p>
            <w:pPr>
              <w:pStyle w:val="TableParagraph"/>
              <w:spacing w:line="226" w:lineRule="exact"/>
              <w:ind w:left="107"/>
              <w:rPr>
                <w:sz w:val="20"/>
              </w:rPr>
            </w:pPr>
            <w:r>
              <w:rPr>
                <w:w w:val="90"/>
                <w:sz w:val="20"/>
              </w:rPr>
              <w:t>10.</w:t>
            </w:r>
            <w:r>
              <w:rPr>
                <w:spacing w:val="51"/>
                <w:sz w:val="20"/>
              </w:rPr>
              <w:t> </w:t>
            </w:r>
            <w:r>
              <w:rPr>
                <w:spacing w:val="-2"/>
                <w:w w:val="90"/>
                <w:sz w:val="20"/>
              </w:rPr>
              <w:t>PERTINENCIA</w:t>
            </w:r>
          </w:p>
        </w:tc>
        <w:tc>
          <w:tcPr>
            <w:tcW w:w="3828" w:type="dxa"/>
          </w:tcPr>
          <w:p>
            <w:pPr>
              <w:pStyle w:val="TableParagraph"/>
              <w:spacing w:line="230" w:lineRule="exact"/>
              <w:ind w:left="107"/>
              <w:rPr>
                <w:sz w:val="20"/>
              </w:rPr>
            </w:pPr>
            <w:r>
              <w:rPr>
                <w:w w:val="80"/>
                <w:sz w:val="20"/>
              </w:rPr>
              <w:t>El instrumento es útil y adecuado para la </w:t>
            </w:r>
            <w:r>
              <w:rPr>
                <w:spacing w:val="-2"/>
                <w:w w:val="90"/>
                <w:sz w:val="20"/>
              </w:rPr>
              <w:t>investigación</w:t>
            </w:r>
          </w:p>
        </w:tc>
        <w:tc>
          <w:tcPr>
            <w:tcW w:w="424" w:type="dxa"/>
          </w:tcPr>
          <w:p>
            <w:pPr>
              <w:pStyle w:val="TableParagraph"/>
              <w:spacing w:line="228" w:lineRule="exact"/>
              <w:ind w:left="108"/>
              <w:rPr>
                <w:sz w:val="20"/>
              </w:rPr>
            </w:pPr>
            <w:r>
              <w:rPr>
                <w:spacing w:val="-10"/>
                <w:sz w:val="20"/>
              </w:rPr>
              <w:t>1</w:t>
            </w:r>
          </w:p>
        </w:tc>
        <w:tc>
          <w:tcPr>
            <w:tcW w:w="426" w:type="dxa"/>
          </w:tcPr>
          <w:p>
            <w:pPr>
              <w:pStyle w:val="TableParagraph"/>
              <w:spacing w:line="228" w:lineRule="exact"/>
              <w:ind w:right="86"/>
              <w:jc w:val="center"/>
              <w:rPr>
                <w:sz w:val="20"/>
              </w:rPr>
            </w:pPr>
            <w:r>
              <w:rPr>
                <w:spacing w:val="-10"/>
                <w:sz w:val="20"/>
              </w:rPr>
              <w:t>2</w:t>
            </w:r>
          </w:p>
        </w:tc>
        <w:tc>
          <w:tcPr>
            <w:tcW w:w="426" w:type="dxa"/>
          </w:tcPr>
          <w:p>
            <w:pPr>
              <w:pStyle w:val="TableParagraph"/>
              <w:spacing w:line="228" w:lineRule="exact"/>
              <w:ind w:right="86"/>
              <w:jc w:val="center"/>
              <w:rPr>
                <w:sz w:val="20"/>
              </w:rPr>
            </w:pPr>
            <w:r>
              <w:rPr>
                <w:spacing w:val="-10"/>
                <w:sz w:val="20"/>
              </w:rPr>
              <w:t>3</w:t>
            </w:r>
          </w:p>
        </w:tc>
        <w:tc>
          <w:tcPr>
            <w:tcW w:w="424" w:type="dxa"/>
          </w:tcPr>
          <w:p>
            <w:pPr>
              <w:pStyle w:val="TableParagraph"/>
              <w:spacing w:line="228" w:lineRule="exact"/>
              <w:ind w:left="108"/>
              <w:rPr>
                <w:sz w:val="20"/>
              </w:rPr>
            </w:pPr>
            <w:r>
              <w:rPr>
                <w:spacing w:val="-10"/>
                <w:sz w:val="20"/>
              </w:rPr>
              <w:t>4</w:t>
            </w:r>
          </w:p>
        </w:tc>
        <w:tc>
          <w:tcPr>
            <w:tcW w:w="426" w:type="dxa"/>
          </w:tcPr>
          <w:p>
            <w:pPr>
              <w:pStyle w:val="TableParagraph"/>
              <w:spacing w:line="228" w:lineRule="exact"/>
              <w:ind w:right="86"/>
              <w:jc w:val="center"/>
              <w:rPr>
                <w:sz w:val="20"/>
              </w:rPr>
            </w:pPr>
            <w:r>
              <w:rPr>
                <w:spacing w:val="-10"/>
                <w:sz w:val="20"/>
              </w:rPr>
              <w:t>5</w:t>
            </w:r>
          </w:p>
        </w:tc>
      </w:tr>
    </w:tbl>
    <w:p>
      <w:pPr>
        <w:spacing w:before="3"/>
        <w:ind w:left="722" w:right="0" w:firstLine="0"/>
        <w:jc w:val="left"/>
        <w:rPr>
          <w:rFonts w:ascii="Arial MT" w:hAnsi="Arial MT"/>
          <w:sz w:val="20"/>
        </w:rPr>
      </w:pPr>
      <w:r>
        <w:rPr>
          <w:rFonts w:ascii="Arial MT" w:hAnsi="Arial MT"/>
          <w:sz w:val="20"/>
        </w:rPr>
        <w:t>Fuente:</w:t>
      </w:r>
      <w:r>
        <w:rPr>
          <w:rFonts w:ascii="Arial MT" w:hAnsi="Arial MT"/>
          <w:spacing w:val="33"/>
          <w:sz w:val="20"/>
        </w:rPr>
        <w:t> </w:t>
      </w:r>
      <w:r>
        <w:rPr>
          <w:rFonts w:ascii="Arial MT" w:hAnsi="Arial MT"/>
          <w:sz w:val="20"/>
        </w:rPr>
        <w:t>Tamayo</w:t>
      </w:r>
      <w:r>
        <w:rPr>
          <w:rFonts w:ascii="Arial MT" w:hAnsi="Arial MT"/>
          <w:spacing w:val="33"/>
          <w:sz w:val="20"/>
        </w:rPr>
        <w:t> </w:t>
      </w:r>
      <w:r>
        <w:rPr>
          <w:rFonts w:ascii="Arial MT" w:hAnsi="Arial MT"/>
          <w:sz w:val="20"/>
        </w:rPr>
        <w:t>y</w:t>
      </w:r>
      <w:r>
        <w:rPr>
          <w:rFonts w:ascii="Arial MT" w:hAnsi="Arial MT"/>
          <w:spacing w:val="30"/>
          <w:sz w:val="20"/>
        </w:rPr>
        <w:t> </w:t>
      </w:r>
      <w:r>
        <w:rPr>
          <w:rFonts w:ascii="Arial MT" w:hAnsi="Arial MT"/>
          <w:sz w:val="20"/>
        </w:rPr>
        <w:t>adaptado</w:t>
      </w:r>
      <w:r>
        <w:rPr>
          <w:rFonts w:ascii="Arial MT" w:hAnsi="Arial MT"/>
          <w:spacing w:val="31"/>
          <w:sz w:val="20"/>
        </w:rPr>
        <w:t> </w:t>
      </w:r>
      <w:r>
        <w:rPr>
          <w:rFonts w:ascii="Arial MT" w:hAnsi="Arial MT"/>
          <w:sz w:val="20"/>
        </w:rPr>
        <w:t>de</w:t>
      </w:r>
      <w:r>
        <w:rPr>
          <w:rFonts w:ascii="Arial MT" w:hAnsi="Arial MT"/>
          <w:spacing w:val="31"/>
          <w:sz w:val="20"/>
        </w:rPr>
        <w:t> </w:t>
      </w:r>
      <w:r>
        <w:rPr>
          <w:rFonts w:ascii="Arial MT" w:hAnsi="Arial MT"/>
          <w:sz w:val="20"/>
        </w:rPr>
        <w:t>Palomino,</w:t>
      </w:r>
      <w:r>
        <w:rPr>
          <w:rFonts w:ascii="Arial MT" w:hAnsi="Arial MT"/>
          <w:spacing w:val="31"/>
          <w:sz w:val="20"/>
        </w:rPr>
        <w:t> </w:t>
      </w:r>
      <w:r>
        <w:rPr>
          <w:rFonts w:ascii="Arial MT" w:hAnsi="Arial MT"/>
          <w:sz w:val="20"/>
        </w:rPr>
        <w:t>Juan;</w:t>
      </w:r>
      <w:r>
        <w:rPr>
          <w:rFonts w:ascii="Arial MT" w:hAnsi="Arial MT"/>
          <w:spacing w:val="31"/>
          <w:sz w:val="20"/>
        </w:rPr>
        <w:t> </w:t>
      </w:r>
      <w:r>
        <w:rPr>
          <w:rFonts w:ascii="Arial MT" w:hAnsi="Arial MT"/>
          <w:sz w:val="20"/>
        </w:rPr>
        <w:t>Peña</w:t>
      </w:r>
      <w:r>
        <w:rPr>
          <w:rFonts w:ascii="Arial MT" w:hAnsi="Arial MT"/>
          <w:spacing w:val="33"/>
          <w:sz w:val="20"/>
        </w:rPr>
        <w:t> </w:t>
      </w:r>
      <w:r>
        <w:rPr>
          <w:rFonts w:ascii="Arial MT" w:hAnsi="Arial MT"/>
          <w:sz w:val="20"/>
        </w:rPr>
        <w:t>Julio</w:t>
      </w:r>
      <w:r>
        <w:rPr>
          <w:rFonts w:ascii="Arial MT" w:hAnsi="Arial MT"/>
          <w:spacing w:val="33"/>
          <w:sz w:val="20"/>
        </w:rPr>
        <w:t> </w:t>
      </w:r>
      <w:r>
        <w:rPr>
          <w:rFonts w:ascii="Arial MT" w:hAnsi="Arial MT"/>
          <w:sz w:val="20"/>
        </w:rPr>
        <w:t>Daniel;</w:t>
      </w:r>
      <w:r>
        <w:rPr>
          <w:rFonts w:ascii="Arial MT" w:hAnsi="Arial MT"/>
          <w:spacing w:val="33"/>
          <w:sz w:val="20"/>
        </w:rPr>
        <w:t> </w:t>
      </w:r>
      <w:r>
        <w:rPr>
          <w:rFonts w:ascii="Arial MT" w:hAnsi="Arial MT"/>
          <w:sz w:val="20"/>
        </w:rPr>
        <w:t>Zevallos</w:t>
      </w:r>
      <w:r>
        <w:rPr>
          <w:rFonts w:ascii="Arial MT" w:hAnsi="Arial MT"/>
          <w:spacing w:val="30"/>
          <w:sz w:val="20"/>
        </w:rPr>
        <w:t> </w:t>
      </w:r>
      <w:r>
        <w:rPr>
          <w:rFonts w:ascii="Arial MT" w:hAnsi="Arial MT"/>
          <w:sz w:val="20"/>
        </w:rPr>
        <w:t>Gudelia</w:t>
      </w:r>
      <w:r>
        <w:rPr>
          <w:rFonts w:ascii="Arial MT" w:hAnsi="Arial MT"/>
          <w:spacing w:val="31"/>
          <w:sz w:val="20"/>
        </w:rPr>
        <w:t> </w:t>
      </w:r>
      <w:r>
        <w:rPr>
          <w:rFonts w:ascii="Arial MT" w:hAnsi="Arial MT"/>
          <w:sz w:val="20"/>
        </w:rPr>
        <w:t>y Orizano Lincoln (2015, p. 217).</w:t>
      </w:r>
    </w:p>
    <w:p>
      <w:pPr>
        <w:pStyle w:val="BodyText"/>
        <w:rPr>
          <w:rFonts w:ascii="Arial MT"/>
          <w:sz w:val="20"/>
        </w:rPr>
      </w:pPr>
    </w:p>
    <w:p>
      <w:pPr>
        <w:tabs>
          <w:tab w:pos="6208" w:val="left" w:leader="none"/>
        </w:tabs>
        <w:spacing w:before="0"/>
        <w:ind w:left="722" w:right="0" w:firstLine="0"/>
        <w:jc w:val="left"/>
        <w:rPr>
          <w:rFonts w:ascii="Arial MT" w:hAnsi="Arial MT"/>
          <w:sz w:val="20"/>
        </w:rPr>
      </w:pPr>
      <w:r>
        <w:rPr>
          <w:rFonts w:ascii="Arial MT" w:hAnsi="Arial MT"/>
          <w:sz w:val="20"/>
        </w:rPr>
        <w:t>Coeficiente</w:t>
      </w:r>
      <w:r>
        <w:rPr>
          <w:rFonts w:ascii="Arial MT" w:hAnsi="Arial MT"/>
          <w:spacing w:val="-13"/>
          <w:sz w:val="20"/>
        </w:rPr>
        <w:t> </w:t>
      </w:r>
      <w:r>
        <w:rPr>
          <w:rFonts w:ascii="Arial MT" w:hAnsi="Arial MT"/>
          <w:sz w:val="20"/>
        </w:rPr>
        <w:t>de</w:t>
      </w:r>
      <w:r>
        <w:rPr>
          <w:rFonts w:ascii="Arial MT" w:hAnsi="Arial MT"/>
          <w:spacing w:val="-13"/>
          <w:sz w:val="20"/>
        </w:rPr>
        <w:t> </w:t>
      </w:r>
      <w:r>
        <w:rPr>
          <w:rFonts w:ascii="Arial MT" w:hAnsi="Arial MT"/>
          <w:sz w:val="20"/>
        </w:rPr>
        <w:t>valorización</w:t>
      </w:r>
      <w:r>
        <w:rPr>
          <w:rFonts w:ascii="Arial MT" w:hAnsi="Arial MT"/>
          <w:spacing w:val="-12"/>
          <w:sz w:val="20"/>
        </w:rPr>
        <w:t> </w:t>
      </w:r>
      <w:r>
        <w:rPr>
          <w:rFonts w:ascii="Arial MT" w:hAnsi="Arial MT"/>
          <w:sz w:val="20"/>
        </w:rPr>
        <w:t>porcentual,</w:t>
      </w:r>
      <w:r>
        <w:rPr>
          <w:rFonts w:ascii="Arial MT" w:hAnsi="Arial MT"/>
          <w:spacing w:val="-12"/>
          <w:sz w:val="20"/>
        </w:rPr>
        <w:t> </w:t>
      </w:r>
      <w:r>
        <w:rPr>
          <w:rFonts w:ascii="Arial MT" w:hAnsi="Arial MT"/>
          <w:sz w:val="20"/>
        </w:rPr>
        <w:t>C=</w:t>
      </w:r>
      <w:r>
        <w:rPr>
          <w:rFonts w:ascii="Arial MT" w:hAnsi="Arial MT"/>
          <w:spacing w:val="-13"/>
          <w:sz w:val="20"/>
        </w:rPr>
        <w:t> </w:t>
      </w:r>
      <w:r>
        <w:rPr>
          <w:rFonts w:ascii="Arial MT" w:hAnsi="Arial MT"/>
          <w:spacing w:val="-2"/>
          <w:sz w:val="20"/>
        </w:rPr>
        <w:t>Toral/50=</w:t>
      </w:r>
      <w:r>
        <w:rPr>
          <w:rFonts w:ascii="Arial MT" w:hAnsi="Arial MT"/>
          <w:sz w:val="20"/>
          <w:u w:val="single"/>
        </w:rPr>
        <w:tab/>
      </w:r>
    </w:p>
    <w:p>
      <w:pPr>
        <w:pStyle w:val="BodyText"/>
        <w:spacing w:before="1"/>
        <w:rPr>
          <w:rFonts w:ascii="Arial MT"/>
          <w:sz w:val="20"/>
        </w:rPr>
      </w:pPr>
    </w:p>
    <w:p>
      <w:pPr>
        <w:pStyle w:val="Heading2"/>
        <w:numPr>
          <w:ilvl w:val="0"/>
          <w:numId w:val="26"/>
        </w:numPr>
        <w:tabs>
          <w:tab w:pos="722" w:val="left" w:leader="none"/>
        </w:tabs>
        <w:spacing w:line="240" w:lineRule="auto" w:before="0" w:after="0"/>
        <w:ind w:left="722" w:right="0" w:hanging="720"/>
        <w:jc w:val="left"/>
        <w:rPr>
          <w:rFonts w:ascii="Arial"/>
        </w:rPr>
      </w:pPr>
      <w:r>
        <w:rPr>
          <w:rFonts w:ascii="Arial"/>
        </w:rPr>
        <w:t>OBSERVACIONES</w:t>
      </w:r>
      <w:r>
        <w:rPr>
          <w:rFonts w:ascii="Arial"/>
          <w:spacing w:val="-11"/>
        </w:rPr>
        <w:t> </w:t>
      </w:r>
      <w:r>
        <w:rPr>
          <w:rFonts w:ascii="Arial"/>
        </w:rPr>
        <w:t>Y</w:t>
      </w:r>
      <w:r>
        <w:rPr>
          <w:rFonts w:ascii="Arial"/>
          <w:spacing w:val="-11"/>
        </w:rPr>
        <w:t> </w:t>
      </w:r>
      <w:r>
        <w:rPr>
          <w:rFonts w:ascii="Arial"/>
          <w:spacing w:val="-2"/>
        </w:rPr>
        <w:t>RECOMENDACIONES</w:t>
      </w:r>
    </w:p>
    <w:p>
      <w:pPr>
        <w:spacing w:before="0"/>
        <w:ind w:left="722" w:right="0" w:firstLine="0"/>
        <w:jc w:val="left"/>
        <w:rPr>
          <w:rFonts w:ascii="Arial MT" w:hAnsi="Arial MT"/>
          <w:sz w:val="24"/>
        </w:rPr>
      </w:pPr>
      <w:r>
        <w:rPr>
          <w:rFonts w:ascii="Arial MT" w:hAnsi="Arial MT"/>
          <w:spacing w:val="-2"/>
          <w:sz w:val="24"/>
        </w:rPr>
        <w:t>……………………………………………………………………………………</w:t>
      </w:r>
    </w:p>
    <w:p>
      <w:pPr>
        <w:spacing w:before="0"/>
        <w:ind w:left="722" w:right="0" w:firstLine="0"/>
        <w:jc w:val="left"/>
        <w:rPr>
          <w:rFonts w:ascii="Arial MT" w:hAnsi="Arial MT"/>
          <w:sz w:val="24"/>
        </w:rPr>
      </w:pPr>
      <w:r>
        <w:rPr>
          <w:rFonts w:ascii="Arial MT" w:hAnsi="Arial MT"/>
          <w:spacing w:val="-2"/>
          <w:sz w:val="24"/>
        </w:rPr>
        <w:t>……………………………………………………………………………………</w:t>
      </w:r>
    </w:p>
    <w:p>
      <w:pPr>
        <w:spacing w:before="0"/>
        <w:ind w:left="722" w:right="0" w:firstLine="0"/>
        <w:jc w:val="left"/>
        <w:rPr>
          <w:rFonts w:ascii="Arial MT" w:hAnsi="Arial MT"/>
          <w:sz w:val="24"/>
        </w:rPr>
      </w:pPr>
      <w:r>
        <w:rPr>
          <w:rFonts w:ascii="Arial MT" w:hAnsi="Arial MT"/>
          <w:spacing w:val="-2"/>
          <w:sz w:val="24"/>
        </w:rPr>
        <w:t>……………………………………………………………………………………</w:t>
      </w:r>
    </w:p>
    <w:p>
      <w:pPr>
        <w:pStyle w:val="Heading2"/>
        <w:numPr>
          <w:ilvl w:val="0"/>
          <w:numId w:val="26"/>
        </w:numPr>
        <w:tabs>
          <w:tab w:pos="722" w:val="left" w:leader="none"/>
        </w:tabs>
        <w:spacing w:line="240" w:lineRule="auto" w:before="0" w:after="0"/>
        <w:ind w:left="722" w:right="0" w:hanging="720"/>
        <w:jc w:val="left"/>
        <w:rPr>
          <w:rFonts w:ascii="Arial" w:hAnsi="Arial"/>
        </w:rPr>
      </w:pPr>
      <w:r>
        <w:rPr>
          <w:rFonts w:ascii="Arial" w:hAnsi="Arial"/>
        </w:rPr>
        <mc:AlternateContent>
          <mc:Choice Requires="wps">
            <w:drawing>
              <wp:anchor distT="0" distB="0" distL="0" distR="0" allowOverlap="1" layoutInCell="1" locked="0" behindDoc="1" simplePos="0" relativeHeight="486017536">
                <wp:simplePos x="0" y="0"/>
                <wp:positionH relativeFrom="page">
                  <wp:posOffset>4115434</wp:posOffset>
                </wp:positionH>
                <wp:positionV relativeFrom="paragraph">
                  <wp:posOffset>130749</wp:posOffset>
                </wp:positionV>
                <wp:extent cx="552450" cy="421640"/>
                <wp:effectExtent l="0" t="0" r="0" b="0"/>
                <wp:wrapNone/>
                <wp:docPr id="194" name="Graphic 194"/>
                <wp:cNvGraphicFramePr>
                  <a:graphicFrameLocks/>
                </wp:cNvGraphicFramePr>
                <a:graphic>
                  <a:graphicData uri="http://schemas.microsoft.com/office/word/2010/wordprocessingShape">
                    <wps:wsp>
                      <wps:cNvPr id="194" name="Graphic 194"/>
                      <wps:cNvSpPr/>
                      <wps:spPr>
                        <a:xfrm>
                          <a:off x="0" y="0"/>
                          <a:ext cx="552450" cy="421640"/>
                        </a:xfrm>
                        <a:custGeom>
                          <a:avLst/>
                          <a:gdLst/>
                          <a:ahLst/>
                          <a:cxnLst/>
                          <a:rect l="l" t="t" r="r" b="b"/>
                          <a:pathLst>
                            <a:path w="552450" h="421640">
                              <a:moveTo>
                                <a:pt x="0" y="195579"/>
                              </a:moveTo>
                              <a:lnTo>
                                <a:pt x="545464" y="195579"/>
                              </a:lnTo>
                              <a:lnTo>
                                <a:pt x="545464" y="0"/>
                              </a:lnTo>
                              <a:lnTo>
                                <a:pt x="0" y="0"/>
                              </a:lnTo>
                              <a:lnTo>
                                <a:pt x="0" y="195579"/>
                              </a:lnTo>
                              <a:close/>
                            </a:path>
                            <a:path w="552450" h="421640">
                              <a:moveTo>
                                <a:pt x="6985" y="421639"/>
                              </a:moveTo>
                              <a:lnTo>
                                <a:pt x="552450" y="421639"/>
                              </a:lnTo>
                              <a:lnTo>
                                <a:pt x="552450" y="226059"/>
                              </a:lnTo>
                              <a:lnTo>
                                <a:pt x="6985" y="226059"/>
                              </a:lnTo>
                              <a:lnTo>
                                <a:pt x="6985" y="421639"/>
                              </a:lnTo>
                              <a:close/>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24.049988pt;margin-top:10.295207pt;width:43.5pt;height:33.2pt;mso-position-horizontal-relative:page;mso-position-vertical-relative:paragraph;z-index:-17298944" id="docshape114" coordorigin="6481,206" coordsize="870,664" path="m6481,514l7340,514,7340,206,6481,206,6481,514xm6492,870l7351,870,7351,562,6492,562,6492,870xe" filled="false" stroked="true" strokeweight=".75pt" strokecolor="#000000">
                <v:path arrowok="t"/>
                <v:stroke dashstyle="solid"/>
                <w10:wrap type="none"/>
              </v:shape>
            </w:pict>
          </mc:Fallback>
        </mc:AlternateContent>
      </w:r>
      <w:r>
        <w:rPr>
          <w:rFonts w:ascii="Arial" w:hAnsi="Arial"/>
          <w:spacing w:val="-2"/>
        </w:rPr>
        <w:t>RESOLUCIÓN</w:t>
      </w:r>
    </w:p>
    <w:p>
      <w:pPr>
        <w:pStyle w:val="ListParagraph"/>
        <w:numPr>
          <w:ilvl w:val="0"/>
          <w:numId w:val="27"/>
        </w:numPr>
        <w:tabs>
          <w:tab w:pos="975" w:val="left" w:leader="none"/>
          <w:tab w:pos="2900" w:val="left" w:leader="none"/>
        </w:tabs>
        <w:spacing w:line="240" w:lineRule="auto" w:before="0" w:after="0"/>
        <w:ind w:left="975" w:right="0" w:hanging="265"/>
        <w:jc w:val="left"/>
        <w:rPr>
          <w:rFonts w:ascii="Arial MT" w:hAnsi="Arial MT"/>
          <w:sz w:val="24"/>
        </w:rPr>
      </w:pPr>
      <w:r>
        <w:rPr>
          <w:rFonts w:ascii="Arial MT" w:hAnsi="Arial MT"/>
          <w:spacing w:val="-2"/>
          <w:sz w:val="24"/>
        </w:rPr>
        <w:t>Aprobado</w:t>
      </w:r>
      <w:r>
        <w:rPr>
          <w:rFonts w:ascii="Arial MT" w:hAnsi="Arial MT"/>
          <w:sz w:val="24"/>
        </w:rPr>
        <w:tab/>
        <w:t>(C≥75%</w:t>
      </w:r>
      <w:r>
        <w:rPr>
          <w:rFonts w:ascii="Arial MT" w:hAnsi="Arial MT"/>
          <w:spacing w:val="-4"/>
          <w:sz w:val="24"/>
        </w:rPr>
        <w:t> </w:t>
      </w:r>
      <w:r>
        <w:rPr>
          <w:rFonts w:ascii="Arial MT" w:hAnsi="Arial MT"/>
          <w:sz w:val="24"/>
        </w:rPr>
        <w:t>=</w:t>
      </w:r>
      <w:r>
        <w:rPr>
          <w:rFonts w:ascii="Arial MT" w:hAnsi="Arial MT"/>
          <w:spacing w:val="-2"/>
          <w:sz w:val="24"/>
        </w:rPr>
        <w:t> </w:t>
      </w:r>
      <w:r>
        <w:rPr>
          <w:rFonts w:ascii="Arial MT" w:hAnsi="Arial MT"/>
          <w:spacing w:val="-4"/>
          <w:sz w:val="24"/>
        </w:rPr>
        <w:t>0.75)</w:t>
      </w:r>
    </w:p>
    <w:p>
      <w:pPr>
        <w:pStyle w:val="ListParagraph"/>
        <w:numPr>
          <w:ilvl w:val="0"/>
          <w:numId w:val="27"/>
        </w:numPr>
        <w:tabs>
          <w:tab w:pos="992" w:val="left" w:leader="none"/>
          <w:tab w:pos="2834" w:val="left" w:leader="none"/>
        </w:tabs>
        <w:spacing w:line="240" w:lineRule="auto" w:before="0" w:after="0"/>
        <w:ind w:left="992" w:right="0" w:hanging="282"/>
        <w:jc w:val="left"/>
        <w:rPr>
          <w:rFonts w:ascii="Arial MT" w:hAnsi="Arial MT"/>
          <w:sz w:val="24"/>
        </w:rPr>
      </w:pPr>
      <w:r>
        <w:rPr>
          <w:rFonts w:ascii="Arial MT" w:hAnsi="Arial MT"/>
          <w:spacing w:val="-2"/>
          <w:sz w:val="24"/>
        </w:rPr>
        <w:t>Desaprobado</w:t>
      </w:r>
      <w:r>
        <w:rPr>
          <w:rFonts w:ascii="Arial MT" w:hAnsi="Arial MT"/>
          <w:sz w:val="24"/>
        </w:rPr>
        <w:tab/>
        <w:t>(</w:t>
      </w:r>
      <w:r>
        <w:rPr>
          <w:rFonts w:ascii="Arial MT" w:hAnsi="Arial MT"/>
          <w:spacing w:val="-2"/>
          <w:sz w:val="24"/>
        </w:rPr>
        <w:t> </w:t>
      </w:r>
      <w:r>
        <w:rPr>
          <w:rFonts w:ascii="Arial MT" w:hAnsi="Arial MT"/>
          <w:sz w:val="24"/>
        </w:rPr>
        <w:t>C</w:t>
      </w:r>
      <w:r>
        <w:rPr>
          <w:rFonts w:ascii="Symbol" w:hAnsi="Symbol"/>
          <w:sz w:val="22"/>
        </w:rPr>
        <w:t></w:t>
      </w:r>
      <w:r>
        <w:rPr>
          <w:spacing w:val="8"/>
          <w:sz w:val="22"/>
        </w:rPr>
        <w:t> </w:t>
      </w:r>
      <w:r>
        <w:rPr>
          <w:rFonts w:ascii="Arial MT" w:hAnsi="Arial MT"/>
          <w:sz w:val="24"/>
        </w:rPr>
        <w:t>75%</w:t>
      </w:r>
      <w:r>
        <w:rPr>
          <w:rFonts w:ascii="Arial MT" w:hAnsi="Arial MT"/>
          <w:spacing w:val="-1"/>
          <w:sz w:val="24"/>
        </w:rPr>
        <w:t> </w:t>
      </w:r>
      <w:r>
        <w:rPr>
          <w:rFonts w:ascii="Arial MT" w:hAnsi="Arial MT"/>
          <w:sz w:val="24"/>
        </w:rPr>
        <w:t>=</w:t>
      </w:r>
      <w:r>
        <w:rPr>
          <w:rFonts w:ascii="Arial MT" w:hAnsi="Arial MT"/>
          <w:spacing w:val="-3"/>
          <w:sz w:val="24"/>
        </w:rPr>
        <w:t> </w:t>
      </w:r>
      <w:r>
        <w:rPr>
          <w:rFonts w:ascii="Arial MT" w:hAnsi="Arial MT"/>
          <w:spacing w:val="-2"/>
          <w:sz w:val="24"/>
        </w:rPr>
        <w:t>0.75)</w:t>
      </w:r>
    </w:p>
    <w:p>
      <w:pPr>
        <w:pStyle w:val="BodyText"/>
        <w:ind w:left="2"/>
        <w:rPr>
          <w:rFonts w:ascii="Arial MT" w:hAnsi="Arial MT"/>
        </w:rPr>
      </w:pPr>
      <w:r>
        <w:rPr>
          <w:rFonts w:ascii="Arial MT" w:hAnsi="Arial MT"/>
        </w:rPr>
        <w:t>Lugar</w:t>
      </w:r>
      <w:r>
        <w:rPr>
          <w:rFonts w:ascii="Arial MT" w:hAnsi="Arial MT"/>
          <w:spacing w:val="-3"/>
        </w:rPr>
        <w:t> </w:t>
      </w:r>
      <w:r>
        <w:rPr>
          <w:rFonts w:ascii="Arial MT" w:hAnsi="Arial MT"/>
        </w:rPr>
        <w:t>y</w:t>
      </w:r>
      <w:r>
        <w:rPr>
          <w:rFonts w:ascii="Arial MT" w:hAnsi="Arial MT"/>
          <w:spacing w:val="-4"/>
        </w:rPr>
        <w:t> </w:t>
      </w:r>
      <w:r>
        <w:rPr>
          <w:rFonts w:ascii="Arial MT" w:hAnsi="Arial MT"/>
        </w:rPr>
        <w:t>fecha:</w:t>
      </w:r>
      <w:r>
        <w:rPr>
          <w:rFonts w:ascii="Arial MT" w:hAnsi="Arial MT"/>
          <w:spacing w:val="-3"/>
        </w:rPr>
        <w:t> </w:t>
      </w:r>
      <w:r>
        <w:rPr>
          <w:rFonts w:ascii="Arial MT" w:hAnsi="Arial MT"/>
          <w:spacing w:val="-2"/>
        </w:rPr>
        <w:t>………………………………………………………………</w:t>
      </w:r>
    </w:p>
    <w:p>
      <w:pPr>
        <w:pStyle w:val="BodyText"/>
        <w:spacing w:before="4"/>
        <w:rPr>
          <w:rFonts w:ascii="Arial MT"/>
          <w:sz w:val="14"/>
        </w:rPr>
      </w:pPr>
      <w:r>
        <w:rPr>
          <w:rFonts w:ascii="Arial MT"/>
          <w:sz w:val="14"/>
        </w:rPr>
        <w:drawing>
          <wp:anchor distT="0" distB="0" distL="0" distR="0" allowOverlap="1" layoutInCell="1" locked="0" behindDoc="1" simplePos="0" relativeHeight="487622144">
            <wp:simplePos x="0" y="0"/>
            <wp:positionH relativeFrom="page">
              <wp:posOffset>2908935</wp:posOffset>
            </wp:positionH>
            <wp:positionV relativeFrom="paragraph">
              <wp:posOffset>120623</wp:posOffset>
            </wp:positionV>
            <wp:extent cx="2523299" cy="745236"/>
            <wp:effectExtent l="0" t="0" r="0" b="0"/>
            <wp:wrapTopAndBottom/>
            <wp:docPr id="195" name="Image 195"/>
            <wp:cNvGraphicFramePr>
              <a:graphicFrameLocks/>
            </wp:cNvGraphicFramePr>
            <a:graphic>
              <a:graphicData uri="http://schemas.openxmlformats.org/drawingml/2006/picture">
                <pic:pic>
                  <pic:nvPicPr>
                    <pic:cNvPr id="195" name="Image 195"/>
                    <pic:cNvPicPr/>
                  </pic:nvPicPr>
                  <pic:blipFill>
                    <a:blip r:embed="rId111" cstate="print"/>
                    <a:stretch>
                      <a:fillRect/>
                    </a:stretch>
                  </pic:blipFill>
                  <pic:spPr>
                    <a:xfrm>
                      <a:off x="0" y="0"/>
                      <a:ext cx="2523299" cy="745236"/>
                    </a:xfrm>
                    <a:prstGeom prst="rect">
                      <a:avLst/>
                    </a:prstGeom>
                  </pic:spPr>
                </pic:pic>
              </a:graphicData>
            </a:graphic>
          </wp:anchor>
        </w:drawing>
      </w:r>
    </w:p>
    <w:p>
      <w:pPr>
        <w:pStyle w:val="BodyText"/>
        <w:spacing w:after="0"/>
        <w:rPr>
          <w:rFonts w:ascii="Arial MT"/>
          <w:sz w:val="14"/>
        </w:rPr>
        <w:sectPr>
          <w:pgSz w:w="11910" w:h="16840"/>
          <w:pgMar w:header="0" w:footer="693" w:top="1340" w:bottom="880" w:left="1700" w:right="1275"/>
        </w:sectPr>
      </w:pPr>
    </w:p>
    <w:p>
      <w:pPr>
        <w:pStyle w:val="BodyText"/>
        <w:rPr>
          <w:rFonts w:ascii="Arial MT"/>
        </w:rPr>
      </w:pPr>
      <w:r>
        <w:rPr>
          <w:rFonts w:ascii="Arial MT"/>
        </w:rPr>
        <mc:AlternateContent>
          <mc:Choice Requires="wps">
            <w:drawing>
              <wp:anchor distT="0" distB="0" distL="0" distR="0" allowOverlap="1" layoutInCell="1" locked="0" behindDoc="1" simplePos="0" relativeHeight="486018048">
                <wp:simplePos x="0" y="0"/>
                <wp:positionH relativeFrom="page">
                  <wp:posOffset>0</wp:posOffset>
                </wp:positionH>
                <wp:positionV relativeFrom="page">
                  <wp:posOffset>0</wp:posOffset>
                </wp:positionV>
                <wp:extent cx="7559040" cy="10692130"/>
                <wp:effectExtent l="0" t="0" r="0" b="0"/>
                <wp:wrapNone/>
                <wp:docPr id="196" name="Group 196"/>
                <wp:cNvGraphicFramePr>
                  <a:graphicFrameLocks/>
                </wp:cNvGraphicFramePr>
                <a:graphic>
                  <a:graphicData uri="http://schemas.microsoft.com/office/word/2010/wordprocessingGroup">
                    <wpg:wgp>
                      <wpg:cNvPr id="196" name="Group 196"/>
                      <wpg:cNvGrpSpPr/>
                      <wpg:grpSpPr>
                        <a:xfrm>
                          <a:off x="0" y="0"/>
                          <a:ext cx="7559040" cy="10692130"/>
                          <a:chExt cx="7559040" cy="10692130"/>
                        </a:xfrm>
                      </wpg:grpSpPr>
                      <pic:pic>
                        <pic:nvPicPr>
                          <pic:cNvPr id="197" name="Image 197" descr="Diagrama, Texto  Descripción generada automáticamente"/>
                          <pic:cNvPicPr/>
                        </pic:nvPicPr>
                        <pic:blipFill>
                          <a:blip r:embed="rId114" cstate="print"/>
                          <a:stretch>
                            <a:fillRect/>
                          </a:stretch>
                        </pic:blipFill>
                        <pic:spPr>
                          <a:xfrm>
                            <a:off x="67311" y="27417"/>
                            <a:ext cx="7391400" cy="10612003"/>
                          </a:xfrm>
                          <a:prstGeom prst="rect">
                            <a:avLst/>
                          </a:prstGeom>
                        </pic:spPr>
                      </pic:pic>
                      <pic:pic>
                        <pic:nvPicPr>
                          <pic:cNvPr id="198" name="Image 198"/>
                          <pic:cNvPicPr/>
                        </pic:nvPicPr>
                        <pic:blipFill>
                          <a:blip r:embed="rId5" cstate="print"/>
                          <a:stretch>
                            <a:fillRect/>
                          </a:stretch>
                        </pic:blipFill>
                        <pic:spPr>
                          <a:xfrm>
                            <a:off x="0" y="0"/>
                            <a:ext cx="7559040" cy="858265"/>
                          </a:xfrm>
                          <a:prstGeom prst="rect">
                            <a:avLst/>
                          </a:prstGeom>
                        </pic:spPr>
                      </pic:pic>
                      <pic:pic>
                        <pic:nvPicPr>
                          <pic:cNvPr id="199" name="Image 199"/>
                          <pic:cNvPicPr/>
                        </pic:nvPicPr>
                        <pic:blipFill>
                          <a:blip r:embed="rId6" cstate="print"/>
                          <a:stretch>
                            <a:fillRect/>
                          </a:stretch>
                        </pic:blipFill>
                        <pic:spPr>
                          <a:xfrm>
                            <a:off x="0" y="10125202"/>
                            <a:ext cx="7559040" cy="566928"/>
                          </a:xfrm>
                          <a:prstGeom prst="rect">
                            <a:avLst/>
                          </a:prstGeom>
                        </pic:spPr>
                      </pic:pic>
                    </wpg:wgp>
                  </a:graphicData>
                </a:graphic>
              </wp:anchor>
            </w:drawing>
          </mc:Choice>
          <mc:Fallback>
            <w:pict>
              <v:group style="position:absolute;margin-left:0pt;margin-top:.000024pt;width:595.2pt;height:841.9pt;mso-position-horizontal-relative:page;mso-position-vertical-relative:page;z-index:-17298432" id="docshapegroup115" coordorigin="0,0" coordsize="11904,16838">
                <v:shape style="position:absolute;left:106;top:43;width:11640;height:16712" type="#_x0000_t75" id="docshape116" alt="Diagrama, Texto  Descripción generada automáticamente" stroked="false">
                  <v:imagedata r:id="rId114" o:title=""/>
                </v:shape>
                <v:shape style="position:absolute;left:0;top:0;width:11904;height:1352" type="#_x0000_t75" id="docshape117" stroked="false">
                  <v:imagedata r:id="rId5" o:title=""/>
                </v:shape>
                <v:shape style="position:absolute;left:0;top:15945;width:11904;height:893" type="#_x0000_t75" id="docshape118" stroked="false">
                  <v:imagedata r:id="rId6" o:title=""/>
                </v:shape>
                <w10:wrap type="none"/>
              </v:group>
            </w:pict>
          </mc:Fallback>
        </mc:AlternateContent>
      </w:r>
    </w:p>
    <w:p>
      <w:pPr>
        <w:pStyle w:val="BodyText"/>
        <w:rPr>
          <w:rFonts w:ascii="Arial MT"/>
        </w:rPr>
      </w:pPr>
    </w:p>
    <w:p>
      <w:pPr>
        <w:pStyle w:val="BodyText"/>
        <w:rPr>
          <w:rFonts w:ascii="Arial MT"/>
        </w:rPr>
      </w:pPr>
    </w:p>
    <w:p>
      <w:pPr>
        <w:pStyle w:val="BodyText"/>
        <w:rPr>
          <w:rFonts w:ascii="Arial MT"/>
        </w:rPr>
      </w:pPr>
    </w:p>
    <w:p>
      <w:pPr>
        <w:pStyle w:val="BodyText"/>
        <w:rPr>
          <w:rFonts w:ascii="Arial MT"/>
        </w:rPr>
      </w:pPr>
    </w:p>
    <w:p>
      <w:pPr>
        <w:pStyle w:val="BodyText"/>
        <w:spacing w:before="158"/>
        <w:rPr>
          <w:rFonts w:ascii="Arial MT"/>
        </w:rPr>
      </w:pPr>
    </w:p>
    <w:p>
      <w:pPr>
        <w:pStyle w:val="BodyText"/>
        <w:ind w:right="807"/>
        <w:jc w:val="right"/>
      </w:pPr>
      <w:r>
        <w:rPr>
          <w:spacing w:val="-2"/>
        </w:rPr>
        <w:t>30/12/2024</w:t>
      </w:r>
    </w:p>
    <w:p>
      <w:pPr>
        <w:pStyle w:val="BodyText"/>
        <w:spacing w:after="0"/>
        <w:jc w:val="right"/>
        <w:sectPr>
          <w:headerReference w:type="default" r:id="rId112"/>
          <w:footerReference w:type="default" r:id="rId113"/>
          <w:pgSz w:w="11910" w:h="16840"/>
          <w:pgMar w:header="0" w:footer="0" w:top="1920" w:bottom="280" w:left="1700" w:right="1275"/>
        </w:sectPr>
      </w:pPr>
    </w:p>
    <w:p>
      <w:pPr>
        <w:pStyle w:val="BodyText"/>
        <w:spacing w:before="4"/>
        <w:rPr>
          <w:sz w:val="17"/>
        </w:rPr>
      </w:pPr>
      <w:r>
        <w:rPr>
          <w:sz w:val="17"/>
        </w:rPr>
        <mc:AlternateContent>
          <mc:Choice Requires="wps">
            <w:drawing>
              <wp:anchor distT="0" distB="0" distL="0" distR="0" allowOverlap="1" layoutInCell="1" locked="0" behindDoc="0" simplePos="0" relativeHeight="15764480">
                <wp:simplePos x="0" y="0"/>
                <wp:positionH relativeFrom="page">
                  <wp:posOffset>0</wp:posOffset>
                </wp:positionH>
                <wp:positionV relativeFrom="page">
                  <wp:posOffset>0</wp:posOffset>
                </wp:positionV>
                <wp:extent cx="7559040" cy="10692130"/>
                <wp:effectExtent l="0" t="0" r="0" b="0"/>
                <wp:wrapNone/>
                <wp:docPr id="200" name="Group 200"/>
                <wp:cNvGraphicFramePr>
                  <a:graphicFrameLocks/>
                </wp:cNvGraphicFramePr>
                <a:graphic>
                  <a:graphicData uri="http://schemas.microsoft.com/office/word/2010/wordprocessingGroup">
                    <wpg:wgp>
                      <wpg:cNvPr id="200" name="Group 200"/>
                      <wpg:cNvGrpSpPr/>
                      <wpg:grpSpPr>
                        <a:xfrm>
                          <a:off x="0" y="0"/>
                          <a:ext cx="7559040" cy="10692130"/>
                          <a:chExt cx="7559040" cy="10692130"/>
                        </a:xfrm>
                      </wpg:grpSpPr>
                      <pic:pic>
                        <pic:nvPicPr>
                          <pic:cNvPr id="201" name="Image 201" descr="Texto  Descripción generada automáticamente"/>
                          <pic:cNvPicPr/>
                        </pic:nvPicPr>
                        <pic:blipFill>
                          <a:blip r:embed="rId117" cstate="print"/>
                          <a:stretch>
                            <a:fillRect/>
                          </a:stretch>
                        </pic:blipFill>
                        <pic:spPr>
                          <a:xfrm>
                            <a:off x="115090" y="137772"/>
                            <a:ext cx="7327110" cy="10476990"/>
                          </a:xfrm>
                          <a:prstGeom prst="rect">
                            <a:avLst/>
                          </a:prstGeom>
                        </pic:spPr>
                      </pic:pic>
                      <pic:pic>
                        <pic:nvPicPr>
                          <pic:cNvPr id="202" name="Image 202"/>
                          <pic:cNvPicPr/>
                        </pic:nvPicPr>
                        <pic:blipFill>
                          <a:blip r:embed="rId5" cstate="print"/>
                          <a:stretch>
                            <a:fillRect/>
                          </a:stretch>
                        </pic:blipFill>
                        <pic:spPr>
                          <a:xfrm>
                            <a:off x="0" y="0"/>
                            <a:ext cx="7559040" cy="858265"/>
                          </a:xfrm>
                          <a:prstGeom prst="rect">
                            <a:avLst/>
                          </a:prstGeom>
                        </pic:spPr>
                      </pic:pic>
                      <pic:pic>
                        <pic:nvPicPr>
                          <pic:cNvPr id="203" name="Image 203"/>
                          <pic:cNvPicPr/>
                        </pic:nvPicPr>
                        <pic:blipFill>
                          <a:blip r:embed="rId6" cstate="print"/>
                          <a:stretch>
                            <a:fillRect/>
                          </a:stretch>
                        </pic:blipFill>
                        <pic:spPr>
                          <a:xfrm>
                            <a:off x="0" y="10125202"/>
                            <a:ext cx="7559040" cy="566928"/>
                          </a:xfrm>
                          <a:prstGeom prst="rect">
                            <a:avLst/>
                          </a:prstGeom>
                        </pic:spPr>
                      </pic:pic>
                    </wpg:wgp>
                  </a:graphicData>
                </a:graphic>
              </wp:anchor>
            </w:drawing>
          </mc:Choice>
          <mc:Fallback>
            <w:pict>
              <v:group style="position:absolute;margin-left:0pt;margin-top:.000024pt;width:595.2pt;height:841.9pt;mso-position-horizontal-relative:page;mso-position-vertical-relative:page;z-index:15764480" id="docshapegroup119" coordorigin="0,0" coordsize="11904,16838">
                <v:shape style="position:absolute;left:181;top:216;width:11539;height:16500" type="#_x0000_t75" id="docshape120" alt="Texto  Descripción generada automáticamente" stroked="false">
                  <v:imagedata r:id="rId117" o:title=""/>
                </v:shape>
                <v:shape style="position:absolute;left:0;top:0;width:11904;height:1352" type="#_x0000_t75" id="docshape121" stroked="false">
                  <v:imagedata r:id="rId5" o:title=""/>
                </v:shape>
                <v:shape style="position:absolute;left:0;top:15945;width:11904;height:893" type="#_x0000_t75" id="docshape122" stroked="false">
                  <v:imagedata r:id="rId6" o:title=""/>
                </v:shape>
                <w10:wrap type="none"/>
              </v:group>
            </w:pict>
          </mc:Fallback>
        </mc:AlternateContent>
      </w:r>
    </w:p>
    <w:p>
      <w:pPr>
        <w:pStyle w:val="BodyText"/>
        <w:spacing w:after="0"/>
        <w:rPr>
          <w:sz w:val="17"/>
        </w:rPr>
        <w:sectPr>
          <w:headerReference w:type="default" r:id="rId115"/>
          <w:footerReference w:type="default" r:id="rId116"/>
          <w:pgSz w:w="11910" w:h="16840"/>
          <w:pgMar w:header="0" w:footer="0" w:top="1920" w:bottom="280" w:left="1700" w:right="1275"/>
        </w:sectPr>
      </w:pPr>
    </w:p>
    <w:p>
      <w:pPr>
        <w:pStyle w:val="BodyText"/>
      </w:pPr>
      <w:r>
        <w:rPr/>
        <mc:AlternateContent>
          <mc:Choice Requires="wps">
            <w:drawing>
              <wp:anchor distT="0" distB="0" distL="0" distR="0" allowOverlap="1" layoutInCell="1" locked="0" behindDoc="1" simplePos="0" relativeHeight="486019072">
                <wp:simplePos x="0" y="0"/>
                <wp:positionH relativeFrom="page">
                  <wp:posOffset>0</wp:posOffset>
                </wp:positionH>
                <wp:positionV relativeFrom="page">
                  <wp:posOffset>0</wp:posOffset>
                </wp:positionV>
                <wp:extent cx="7559040" cy="10692130"/>
                <wp:effectExtent l="0" t="0" r="0" b="0"/>
                <wp:wrapNone/>
                <wp:docPr id="204" name="Group 204"/>
                <wp:cNvGraphicFramePr>
                  <a:graphicFrameLocks/>
                </wp:cNvGraphicFramePr>
                <a:graphic>
                  <a:graphicData uri="http://schemas.microsoft.com/office/word/2010/wordprocessingGroup">
                    <wpg:wgp>
                      <wpg:cNvPr id="204" name="Group 204"/>
                      <wpg:cNvGrpSpPr/>
                      <wpg:grpSpPr>
                        <a:xfrm>
                          <a:off x="0" y="0"/>
                          <a:ext cx="7559040" cy="10692130"/>
                          <a:chExt cx="7559040" cy="10692130"/>
                        </a:xfrm>
                      </wpg:grpSpPr>
                      <pic:pic>
                        <pic:nvPicPr>
                          <pic:cNvPr id="205" name="Image 205" descr="Diagrama  Descripción generada automáticamente"/>
                          <pic:cNvPicPr/>
                        </pic:nvPicPr>
                        <pic:blipFill>
                          <a:blip r:embed="rId120" cstate="print"/>
                          <a:stretch>
                            <a:fillRect/>
                          </a:stretch>
                        </pic:blipFill>
                        <pic:spPr>
                          <a:xfrm>
                            <a:off x="51436" y="80638"/>
                            <a:ext cx="7327265" cy="10506075"/>
                          </a:xfrm>
                          <a:prstGeom prst="rect">
                            <a:avLst/>
                          </a:prstGeom>
                        </pic:spPr>
                      </pic:pic>
                      <pic:pic>
                        <pic:nvPicPr>
                          <pic:cNvPr id="206" name="Image 206"/>
                          <pic:cNvPicPr/>
                        </pic:nvPicPr>
                        <pic:blipFill>
                          <a:blip r:embed="rId5" cstate="print"/>
                          <a:stretch>
                            <a:fillRect/>
                          </a:stretch>
                        </pic:blipFill>
                        <pic:spPr>
                          <a:xfrm>
                            <a:off x="0" y="0"/>
                            <a:ext cx="7559040" cy="858265"/>
                          </a:xfrm>
                          <a:prstGeom prst="rect">
                            <a:avLst/>
                          </a:prstGeom>
                        </pic:spPr>
                      </pic:pic>
                      <pic:pic>
                        <pic:nvPicPr>
                          <pic:cNvPr id="207" name="Image 207"/>
                          <pic:cNvPicPr/>
                        </pic:nvPicPr>
                        <pic:blipFill>
                          <a:blip r:embed="rId6" cstate="print"/>
                          <a:stretch>
                            <a:fillRect/>
                          </a:stretch>
                        </pic:blipFill>
                        <pic:spPr>
                          <a:xfrm>
                            <a:off x="0" y="10125202"/>
                            <a:ext cx="7559040" cy="566928"/>
                          </a:xfrm>
                          <a:prstGeom prst="rect">
                            <a:avLst/>
                          </a:prstGeom>
                        </pic:spPr>
                      </pic:pic>
                    </wpg:wgp>
                  </a:graphicData>
                </a:graphic>
              </wp:anchor>
            </w:drawing>
          </mc:Choice>
          <mc:Fallback>
            <w:pict>
              <v:group style="position:absolute;margin-left:0pt;margin-top:.000024pt;width:595.2pt;height:841.9pt;mso-position-horizontal-relative:page;mso-position-vertical-relative:page;z-index:-17297408" id="docshapegroup123" coordorigin="0,0" coordsize="11904,16838">
                <v:shape style="position:absolute;left:81;top:127;width:11539;height:16545" type="#_x0000_t75" id="docshape124" alt="Diagrama  Descripción generada automáticamente" stroked="false">
                  <v:imagedata r:id="rId120" o:title=""/>
                </v:shape>
                <v:shape style="position:absolute;left:0;top:0;width:11904;height:1352" type="#_x0000_t75" id="docshape125" stroked="false">
                  <v:imagedata r:id="rId5" o:title=""/>
                </v:shape>
                <v:shape style="position:absolute;left:0;top:15945;width:11904;height:893" type="#_x0000_t75" id="docshape126" stroked="false">
                  <v:imagedata r:id="rId6" o:title=""/>
                </v:shape>
                <w10:wrap type="none"/>
              </v:group>
            </w:pict>
          </mc:Fallback>
        </mc:AlternateConten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1"/>
      </w:pPr>
    </w:p>
    <w:p>
      <w:pPr>
        <w:pStyle w:val="BodyText"/>
        <w:ind w:right="1798"/>
        <w:jc w:val="right"/>
      </w:pPr>
      <w:r>
        <w:rPr>
          <w:spacing w:val="-2"/>
        </w:rPr>
        <w:t>30/12/2024</w:t>
      </w:r>
    </w:p>
    <w:sectPr>
      <w:headerReference w:type="default" r:id="rId118"/>
      <w:footerReference w:type="default" r:id="rId119"/>
      <w:pgSz w:w="11910" w:h="16840"/>
      <w:pgMar w:header="0" w:footer="0" w:top="1920" w:bottom="280" w:left="1700"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Arial MT">
    <w:altName w:val="Arial MT"/>
    <w:charset w:val="1"/>
    <w:family w:val="swiss"/>
    <w:pitch w:val="variable"/>
  </w:font>
  <w:font w:name="Arial Black">
    <w:altName w:val="Arial Black"/>
    <w:charset w:val="1"/>
    <w:family w:val="swiss"/>
    <w:pitch w:val="variable"/>
  </w:font>
  <w:font w:name="Calibri">
    <w:altName w:val="Calibri"/>
    <w:charset w:val="1"/>
    <w:family w:val="roman"/>
    <w:pitch w:val="variable"/>
  </w:font>
  <w:font w:name="Cambria Math">
    <w:altName w:val="Cambria Math"/>
    <w:charset w:val="1"/>
    <w:family w:val="roman"/>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83744">
          <wp:simplePos x="0" y="0"/>
          <wp:positionH relativeFrom="page">
            <wp:posOffset>0</wp:posOffset>
          </wp:positionH>
          <wp:positionV relativeFrom="page">
            <wp:posOffset>10125202</wp:posOffset>
          </wp:positionV>
          <wp:extent cx="7559040" cy="566928"/>
          <wp:effectExtent l="0" t="0" r="0" b="0"/>
          <wp:wrapNone/>
          <wp:docPr id="67" name="Image 67"/>
          <wp:cNvGraphicFramePr>
            <a:graphicFrameLocks/>
          </wp:cNvGraphicFramePr>
          <a:graphic>
            <a:graphicData uri="http://schemas.openxmlformats.org/drawingml/2006/picture">
              <pic:pic>
                <pic:nvPicPr>
                  <pic:cNvPr id="67" name="Image 67"/>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97568">
          <wp:simplePos x="0" y="0"/>
          <wp:positionH relativeFrom="page">
            <wp:posOffset>0</wp:posOffset>
          </wp:positionH>
          <wp:positionV relativeFrom="page">
            <wp:posOffset>10125202</wp:posOffset>
          </wp:positionV>
          <wp:extent cx="7559040" cy="566928"/>
          <wp:effectExtent l="0" t="0" r="0" b="0"/>
          <wp:wrapNone/>
          <wp:docPr id="101" name="Image 101"/>
          <wp:cNvGraphicFramePr>
            <a:graphicFrameLocks/>
          </wp:cNvGraphicFramePr>
          <a:graphic>
            <a:graphicData uri="http://schemas.openxmlformats.org/drawingml/2006/picture">
              <pic:pic>
                <pic:nvPicPr>
                  <pic:cNvPr id="101" name="Image 101"/>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99104">
          <wp:simplePos x="0" y="0"/>
          <wp:positionH relativeFrom="page">
            <wp:posOffset>0</wp:posOffset>
          </wp:positionH>
          <wp:positionV relativeFrom="page">
            <wp:posOffset>10125202</wp:posOffset>
          </wp:positionV>
          <wp:extent cx="7559040" cy="566928"/>
          <wp:effectExtent l="0" t="0" r="0" b="0"/>
          <wp:wrapNone/>
          <wp:docPr id="104" name="Image 104"/>
          <wp:cNvGraphicFramePr>
            <a:graphicFrameLocks/>
          </wp:cNvGraphicFramePr>
          <a:graphic>
            <a:graphicData uri="http://schemas.openxmlformats.org/drawingml/2006/picture">
              <pic:pic>
                <pic:nvPicPr>
                  <pic:cNvPr id="104" name="Image 104"/>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99616">
          <wp:simplePos x="0" y="0"/>
          <wp:positionH relativeFrom="page">
            <wp:posOffset>0</wp:posOffset>
          </wp:positionH>
          <wp:positionV relativeFrom="page">
            <wp:posOffset>10125202</wp:posOffset>
          </wp:positionV>
          <wp:extent cx="7559040" cy="566928"/>
          <wp:effectExtent l="0" t="0" r="0" b="0"/>
          <wp:wrapNone/>
          <wp:docPr id="105" name="Image 105"/>
          <wp:cNvGraphicFramePr>
            <a:graphicFrameLocks/>
          </wp:cNvGraphicFramePr>
          <a:graphic>
            <a:graphicData uri="http://schemas.openxmlformats.org/drawingml/2006/picture">
              <pic:pic>
                <pic:nvPicPr>
                  <pic:cNvPr id="105" name="Image 105"/>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01152">
          <wp:simplePos x="0" y="0"/>
          <wp:positionH relativeFrom="page">
            <wp:posOffset>0</wp:posOffset>
          </wp:positionH>
          <wp:positionV relativeFrom="page">
            <wp:posOffset>10125202</wp:posOffset>
          </wp:positionV>
          <wp:extent cx="7559040" cy="566928"/>
          <wp:effectExtent l="0" t="0" r="0" b="0"/>
          <wp:wrapNone/>
          <wp:docPr id="112" name="Image 112"/>
          <wp:cNvGraphicFramePr>
            <a:graphicFrameLocks/>
          </wp:cNvGraphicFramePr>
          <a:graphic>
            <a:graphicData uri="http://schemas.openxmlformats.org/drawingml/2006/picture">
              <pic:pic>
                <pic:nvPicPr>
                  <pic:cNvPr id="112" name="Image 112"/>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02688">
          <wp:simplePos x="0" y="0"/>
          <wp:positionH relativeFrom="page">
            <wp:posOffset>0</wp:posOffset>
          </wp:positionH>
          <wp:positionV relativeFrom="page">
            <wp:posOffset>10125202</wp:posOffset>
          </wp:positionV>
          <wp:extent cx="7559040" cy="566928"/>
          <wp:effectExtent l="0" t="0" r="0" b="0"/>
          <wp:wrapNone/>
          <wp:docPr id="124" name="Image 124"/>
          <wp:cNvGraphicFramePr>
            <a:graphicFrameLocks/>
          </wp:cNvGraphicFramePr>
          <a:graphic>
            <a:graphicData uri="http://schemas.openxmlformats.org/drawingml/2006/picture">
              <pic:pic>
                <pic:nvPicPr>
                  <pic:cNvPr id="124" name="Image 124"/>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03200">
          <wp:simplePos x="0" y="0"/>
          <wp:positionH relativeFrom="page">
            <wp:posOffset>0</wp:posOffset>
          </wp:positionH>
          <wp:positionV relativeFrom="page">
            <wp:posOffset>10125202</wp:posOffset>
          </wp:positionV>
          <wp:extent cx="7559040" cy="566928"/>
          <wp:effectExtent l="0" t="0" r="0" b="0"/>
          <wp:wrapNone/>
          <wp:docPr id="126" name="Image 126"/>
          <wp:cNvGraphicFramePr>
            <a:graphicFrameLocks/>
          </wp:cNvGraphicFramePr>
          <a:graphic>
            <a:graphicData uri="http://schemas.openxmlformats.org/drawingml/2006/picture">
              <pic:pic>
                <pic:nvPicPr>
                  <pic:cNvPr id="126" name="Image 126"/>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04736">
          <wp:simplePos x="0" y="0"/>
          <wp:positionH relativeFrom="page">
            <wp:posOffset>0</wp:posOffset>
          </wp:positionH>
          <wp:positionV relativeFrom="page">
            <wp:posOffset>10125202</wp:posOffset>
          </wp:positionV>
          <wp:extent cx="7559040" cy="566928"/>
          <wp:effectExtent l="0" t="0" r="0" b="0"/>
          <wp:wrapNone/>
          <wp:docPr id="133" name="Image 133"/>
          <wp:cNvGraphicFramePr>
            <a:graphicFrameLocks/>
          </wp:cNvGraphicFramePr>
          <a:graphic>
            <a:graphicData uri="http://schemas.openxmlformats.org/drawingml/2006/picture">
              <pic:pic>
                <pic:nvPicPr>
                  <pic:cNvPr id="133" name="Image 133"/>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06272">
          <wp:simplePos x="0" y="0"/>
          <wp:positionH relativeFrom="page">
            <wp:posOffset>0</wp:posOffset>
          </wp:positionH>
          <wp:positionV relativeFrom="page">
            <wp:posOffset>10125202</wp:posOffset>
          </wp:positionV>
          <wp:extent cx="7559040" cy="566928"/>
          <wp:effectExtent l="0" t="0" r="0" b="0"/>
          <wp:wrapNone/>
          <wp:docPr id="142" name="Image 142"/>
          <wp:cNvGraphicFramePr>
            <a:graphicFrameLocks/>
          </wp:cNvGraphicFramePr>
          <a:graphic>
            <a:graphicData uri="http://schemas.openxmlformats.org/drawingml/2006/picture">
              <pic:pic>
                <pic:nvPicPr>
                  <pic:cNvPr id="142" name="Image 142"/>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07808">
          <wp:simplePos x="0" y="0"/>
          <wp:positionH relativeFrom="page">
            <wp:posOffset>0</wp:posOffset>
          </wp:positionH>
          <wp:positionV relativeFrom="page">
            <wp:posOffset>10125202</wp:posOffset>
          </wp:positionV>
          <wp:extent cx="7559040" cy="566928"/>
          <wp:effectExtent l="0" t="0" r="0" b="0"/>
          <wp:wrapNone/>
          <wp:docPr id="145" name="Image 145"/>
          <wp:cNvGraphicFramePr>
            <a:graphicFrameLocks/>
          </wp:cNvGraphicFramePr>
          <a:graphic>
            <a:graphicData uri="http://schemas.openxmlformats.org/drawingml/2006/picture">
              <pic:pic>
                <pic:nvPicPr>
                  <pic:cNvPr id="145" name="Image 145"/>
                  <pic:cNvPicPr/>
                </pic:nvPicPr>
                <pic:blipFill>
                  <a:blip r:embed="rId1" cstate="print"/>
                  <a:stretch>
                    <a:fillRect/>
                  </a:stretch>
                </pic:blipFill>
                <pic:spPr>
                  <a:xfrm>
                    <a:off x="0" y="0"/>
                    <a:ext cx="7559040" cy="566928"/>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08320">
              <wp:simplePos x="0" y="0"/>
              <wp:positionH relativeFrom="page">
                <wp:posOffset>1158557</wp:posOffset>
              </wp:positionH>
              <wp:positionV relativeFrom="page">
                <wp:posOffset>8431233</wp:posOffset>
              </wp:positionV>
              <wp:extent cx="2975610" cy="194310"/>
              <wp:effectExtent l="0" t="0" r="0" b="0"/>
              <wp:wrapNone/>
              <wp:docPr id="146" name="Textbox 146"/>
              <wp:cNvGraphicFramePr>
                <a:graphicFrameLocks/>
              </wp:cNvGraphicFramePr>
              <a:graphic>
                <a:graphicData uri="http://schemas.microsoft.com/office/word/2010/wordprocessingShape">
                  <wps:wsp>
                    <wps:cNvPr id="146" name="Textbox 146"/>
                    <wps:cNvSpPr txBox="1"/>
                    <wps:spPr>
                      <a:xfrm>
                        <a:off x="0" y="0"/>
                        <a:ext cx="2975610" cy="194310"/>
                      </a:xfrm>
                      <a:prstGeom prst="rect">
                        <a:avLst/>
                      </a:prstGeom>
                    </wps:spPr>
                    <wps:txbx>
                      <w:txbxContent>
                        <w:p>
                          <w:pPr>
                            <w:pStyle w:val="BodyText"/>
                            <w:spacing w:before="10"/>
                            <w:ind w:left="20"/>
                          </w:pPr>
                          <w:r>
                            <w:rPr/>
                            <w:t>centro</w:t>
                          </w:r>
                          <w:r>
                            <w:rPr>
                              <w:spacing w:val="-2"/>
                            </w:rPr>
                            <w:t> </w:t>
                          </w:r>
                          <w:r>
                            <w:rPr/>
                            <w:t>de</w:t>
                          </w:r>
                          <w:r>
                            <w:rPr>
                              <w:spacing w:val="-1"/>
                            </w:rPr>
                            <w:t> </w:t>
                          </w:r>
                          <w:r>
                            <w:rPr/>
                            <w:t>abastos</w:t>
                          </w:r>
                          <w:r>
                            <w:rPr>
                              <w:spacing w:val="-1"/>
                            </w:rPr>
                            <w:t> </w:t>
                          </w:r>
                          <w:r>
                            <w:rPr/>
                            <w:t>las</w:t>
                          </w:r>
                          <w:r>
                            <w:rPr>
                              <w:spacing w:val="1"/>
                            </w:rPr>
                            <w:t> </w:t>
                          </w:r>
                          <w:r>
                            <w:rPr/>
                            <w:t>Mercedes</w:t>
                          </w:r>
                          <w:r>
                            <w:rPr>
                              <w:spacing w:val="-1"/>
                            </w:rPr>
                            <w:t> </w:t>
                          </w:r>
                          <w:r>
                            <w:rPr/>
                            <w:t>de</w:t>
                          </w:r>
                          <w:r>
                            <w:rPr>
                              <w:spacing w:val="-1"/>
                            </w:rPr>
                            <w:t> </w:t>
                          </w:r>
                          <w:r>
                            <w:rPr/>
                            <w:t>Juliaca, </w:t>
                          </w:r>
                          <w:r>
                            <w:rPr>
                              <w:spacing w:val="-2"/>
                            </w:rPr>
                            <w:t>2023.</w:t>
                          </w:r>
                        </w:p>
                      </w:txbxContent>
                    </wps:txbx>
                    <wps:bodyPr wrap="square" lIns="0" tIns="0" rIns="0" bIns="0" rtlCol="0">
                      <a:noAutofit/>
                    </wps:bodyPr>
                  </wps:wsp>
                </a:graphicData>
              </a:graphic>
            </wp:anchor>
          </w:drawing>
        </mc:Choice>
        <mc:Fallback>
          <w:pict>
            <v:shape style="position:absolute;margin-left:91.224998pt;margin-top:663.876648pt;width:234.3pt;height:15.3pt;mso-position-horizontal-relative:page;mso-position-vertical-relative:page;z-index:-17308160" type="#_x0000_t202" id="docshape104" filled="false" stroked="false">
              <v:textbox inset="0,0,0,0">
                <w:txbxContent>
                  <w:p>
                    <w:pPr>
                      <w:pStyle w:val="BodyText"/>
                      <w:spacing w:before="10"/>
                      <w:ind w:left="20"/>
                    </w:pPr>
                    <w:r>
                      <w:rPr/>
                      <w:t>centro</w:t>
                    </w:r>
                    <w:r>
                      <w:rPr>
                        <w:spacing w:val="-2"/>
                      </w:rPr>
                      <w:t> </w:t>
                    </w:r>
                    <w:r>
                      <w:rPr/>
                      <w:t>de</w:t>
                    </w:r>
                    <w:r>
                      <w:rPr>
                        <w:spacing w:val="-1"/>
                      </w:rPr>
                      <w:t> </w:t>
                    </w:r>
                    <w:r>
                      <w:rPr/>
                      <w:t>abastos</w:t>
                    </w:r>
                    <w:r>
                      <w:rPr>
                        <w:spacing w:val="-1"/>
                      </w:rPr>
                      <w:t> </w:t>
                    </w:r>
                    <w:r>
                      <w:rPr/>
                      <w:t>las</w:t>
                    </w:r>
                    <w:r>
                      <w:rPr>
                        <w:spacing w:val="1"/>
                      </w:rPr>
                      <w:t> </w:t>
                    </w:r>
                    <w:r>
                      <w:rPr/>
                      <w:t>Mercedes</w:t>
                    </w:r>
                    <w:r>
                      <w:rPr>
                        <w:spacing w:val="-1"/>
                      </w:rPr>
                      <w:t> </w:t>
                    </w:r>
                    <w:r>
                      <w:rPr/>
                      <w:t>de</w:t>
                    </w:r>
                    <w:r>
                      <w:rPr>
                        <w:spacing w:val="-1"/>
                      </w:rPr>
                      <w:t> </w:t>
                    </w:r>
                    <w:r>
                      <w:rPr/>
                      <w:t>Juliaca, </w:t>
                    </w:r>
                    <w:r>
                      <w:rPr>
                        <w:spacing w:val="-2"/>
                      </w:rPr>
                      <w:t>2023.</w:t>
                    </w:r>
                  </w:p>
                </w:txbxContent>
              </v:textbox>
              <w10:wrap type="none"/>
            </v:shape>
          </w:pict>
        </mc:Fallback>
      </mc:AlternateContent>
    </w: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09856">
          <wp:simplePos x="0" y="0"/>
          <wp:positionH relativeFrom="page">
            <wp:posOffset>0</wp:posOffset>
          </wp:positionH>
          <wp:positionV relativeFrom="page">
            <wp:posOffset>10125202</wp:posOffset>
          </wp:positionV>
          <wp:extent cx="7559040" cy="566928"/>
          <wp:effectExtent l="0" t="0" r="0" b="0"/>
          <wp:wrapNone/>
          <wp:docPr id="149" name="Image 149"/>
          <wp:cNvGraphicFramePr>
            <a:graphicFrameLocks/>
          </wp:cNvGraphicFramePr>
          <a:graphic>
            <a:graphicData uri="http://schemas.openxmlformats.org/drawingml/2006/picture">
              <pic:pic>
                <pic:nvPicPr>
                  <pic:cNvPr id="149" name="Image 149"/>
                  <pic:cNvPicPr/>
                </pic:nvPicPr>
                <pic:blipFill>
                  <a:blip r:embed="rId1" cstate="print"/>
                  <a:stretch>
                    <a:fillRect/>
                  </a:stretch>
                </pic:blipFill>
                <pic:spPr>
                  <a:xfrm>
                    <a:off x="0" y="0"/>
                    <a:ext cx="7559040" cy="566928"/>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10368">
              <wp:simplePos x="0" y="0"/>
              <wp:positionH relativeFrom="page">
                <wp:posOffset>1068387</wp:posOffset>
              </wp:positionH>
              <wp:positionV relativeFrom="page">
                <wp:posOffset>8781753</wp:posOffset>
              </wp:positionV>
              <wp:extent cx="2975610" cy="194310"/>
              <wp:effectExtent l="0" t="0" r="0" b="0"/>
              <wp:wrapNone/>
              <wp:docPr id="150" name="Textbox 150"/>
              <wp:cNvGraphicFramePr>
                <a:graphicFrameLocks/>
              </wp:cNvGraphicFramePr>
              <a:graphic>
                <a:graphicData uri="http://schemas.microsoft.com/office/word/2010/wordprocessingShape">
                  <wps:wsp>
                    <wps:cNvPr id="150" name="Textbox 150"/>
                    <wps:cNvSpPr txBox="1"/>
                    <wps:spPr>
                      <a:xfrm>
                        <a:off x="0" y="0"/>
                        <a:ext cx="2975610" cy="194310"/>
                      </a:xfrm>
                      <a:prstGeom prst="rect">
                        <a:avLst/>
                      </a:prstGeom>
                    </wps:spPr>
                    <wps:txbx>
                      <w:txbxContent>
                        <w:p>
                          <w:pPr>
                            <w:pStyle w:val="BodyText"/>
                            <w:spacing w:before="10"/>
                            <w:ind w:left="20"/>
                          </w:pPr>
                          <w:r>
                            <w:rPr/>
                            <w:t>centro</w:t>
                          </w:r>
                          <w:r>
                            <w:rPr>
                              <w:spacing w:val="-2"/>
                            </w:rPr>
                            <w:t> </w:t>
                          </w:r>
                          <w:r>
                            <w:rPr/>
                            <w:t>de</w:t>
                          </w:r>
                          <w:r>
                            <w:rPr>
                              <w:spacing w:val="-1"/>
                            </w:rPr>
                            <w:t> </w:t>
                          </w:r>
                          <w:r>
                            <w:rPr/>
                            <w:t>abastos</w:t>
                          </w:r>
                          <w:r>
                            <w:rPr>
                              <w:spacing w:val="-1"/>
                            </w:rPr>
                            <w:t> </w:t>
                          </w:r>
                          <w:r>
                            <w:rPr/>
                            <w:t>las Mercedes</w:t>
                          </w:r>
                          <w:r>
                            <w:rPr>
                              <w:spacing w:val="-1"/>
                            </w:rPr>
                            <w:t> </w:t>
                          </w:r>
                          <w:r>
                            <w:rPr/>
                            <w:t>de</w:t>
                          </w:r>
                          <w:r>
                            <w:rPr>
                              <w:spacing w:val="-1"/>
                            </w:rPr>
                            <w:t> </w:t>
                          </w:r>
                          <w:r>
                            <w:rPr/>
                            <w:t>Juliaca, </w:t>
                          </w:r>
                          <w:r>
                            <w:rPr>
                              <w:spacing w:val="-2"/>
                            </w:rPr>
                            <w:t>2023.</w:t>
                          </w:r>
                        </w:p>
                      </w:txbxContent>
                    </wps:txbx>
                    <wps:bodyPr wrap="square" lIns="0" tIns="0" rIns="0" bIns="0" rtlCol="0">
                      <a:noAutofit/>
                    </wps:bodyPr>
                  </wps:wsp>
                </a:graphicData>
              </a:graphic>
            </wp:anchor>
          </w:drawing>
        </mc:Choice>
        <mc:Fallback>
          <w:pict>
            <v:shape style="position:absolute;margin-left:84.125pt;margin-top:691.476685pt;width:234.3pt;height:15.3pt;mso-position-horizontal-relative:page;mso-position-vertical-relative:page;z-index:-17306112" type="#_x0000_t202" id="docshape106" filled="false" stroked="false">
              <v:textbox inset="0,0,0,0">
                <w:txbxContent>
                  <w:p>
                    <w:pPr>
                      <w:pStyle w:val="BodyText"/>
                      <w:spacing w:before="10"/>
                      <w:ind w:left="20"/>
                    </w:pPr>
                    <w:r>
                      <w:rPr/>
                      <w:t>centro</w:t>
                    </w:r>
                    <w:r>
                      <w:rPr>
                        <w:spacing w:val="-2"/>
                      </w:rPr>
                      <w:t> </w:t>
                    </w:r>
                    <w:r>
                      <w:rPr/>
                      <w:t>de</w:t>
                    </w:r>
                    <w:r>
                      <w:rPr>
                        <w:spacing w:val="-1"/>
                      </w:rPr>
                      <w:t> </w:t>
                    </w:r>
                    <w:r>
                      <w:rPr/>
                      <w:t>abastos</w:t>
                    </w:r>
                    <w:r>
                      <w:rPr>
                        <w:spacing w:val="-1"/>
                      </w:rPr>
                      <w:t> </w:t>
                    </w:r>
                    <w:r>
                      <w:rPr/>
                      <w:t>las Mercedes</w:t>
                    </w:r>
                    <w:r>
                      <w:rPr>
                        <w:spacing w:val="-1"/>
                      </w:rPr>
                      <w:t> </w:t>
                    </w:r>
                    <w:r>
                      <w:rPr/>
                      <w:t>de</w:t>
                    </w:r>
                    <w:r>
                      <w:rPr>
                        <w:spacing w:val="-1"/>
                      </w:rPr>
                      <w:t> </w:t>
                    </w:r>
                    <w:r>
                      <w:rPr/>
                      <w:t>Juliaca, </w:t>
                    </w:r>
                    <w:r>
                      <w:rPr>
                        <w:spacing w:val="-2"/>
                      </w:rPr>
                      <w:t>2023.</w:t>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86816">
          <wp:simplePos x="0" y="0"/>
          <wp:positionH relativeFrom="page">
            <wp:posOffset>0</wp:posOffset>
          </wp:positionH>
          <wp:positionV relativeFrom="page">
            <wp:posOffset>10125202</wp:posOffset>
          </wp:positionV>
          <wp:extent cx="7559040" cy="566928"/>
          <wp:effectExtent l="0" t="0" r="0" b="0"/>
          <wp:wrapNone/>
          <wp:docPr id="70" name="Image 70"/>
          <wp:cNvGraphicFramePr>
            <a:graphicFrameLocks/>
          </wp:cNvGraphicFramePr>
          <a:graphic>
            <a:graphicData uri="http://schemas.openxmlformats.org/drawingml/2006/picture">
              <pic:pic>
                <pic:nvPicPr>
                  <pic:cNvPr id="70" name="Image 70"/>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2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10880">
          <wp:simplePos x="0" y="0"/>
          <wp:positionH relativeFrom="page">
            <wp:posOffset>0</wp:posOffset>
          </wp:positionH>
          <wp:positionV relativeFrom="page">
            <wp:posOffset>10125202</wp:posOffset>
          </wp:positionV>
          <wp:extent cx="7559040" cy="566928"/>
          <wp:effectExtent l="0" t="0" r="0" b="0"/>
          <wp:wrapNone/>
          <wp:docPr id="151" name="Image 151"/>
          <wp:cNvGraphicFramePr>
            <a:graphicFrameLocks/>
          </wp:cNvGraphicFramePr>
          <a:graphic>
            <a:graphicData uri="http://schemas.openxmlformats.org/drawingml/2006/picture">
              <pic:pic>
                <pic:nvPicPr>
                  <pic:cNvPr id="151" name="Image 151"/>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2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12416">
          <wp:simplePos x="0" y="0"/>
          <wp:positionH relativeFrom="page">
            <wp:posOffset>0</wp:posOffset>
          </wp:positionH>
          <wp:positionV relativeFrom="page">
            <wp:posOffset>10125202</wp:posOffset>
          </wp:positionV>
          <wp:extent cx="7559040" cy="566928"/>
          <wp:effectExtent l="0" t="0" r="0" b="0"/>
          <wp:wrapNone/>
          <wp:docPr id="158" name="Image 158"/>
          <wp:cNvGraphicFramePr>
            <a:graphicFrameLocks/>
          </wp:cNvGraphicFramePr>
          <a:graphic>
            <a:graphicData uri="http://schemas.openxmlformats.org/drawingml/2006/picture">
              <pic:pic>
                <pic:nvPicPr>
                  <pic:cNvPr id="158" name="Image 158"/>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2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13952">
          <wp:simplePos x="0" y="0"/>
          <wp:positionH relativeFrom="page">
            <wp:posOffset>0</wp:posOffset>
          </wp:positionH>
          <wp:positionV relativeFrom="page">
            <wp:posOffset>10125202</wp:posOffset>
          </wp:positionV>
          <wp:extent cx="7559040" cy="566928"/>
          <wp:effectExtent l="0" t="0" r="0" b="0"/>
          <wp:wrapNone/>
          <wp:docPr id="164" name="Image 164"/>
          <wp:cNvGraphicFramePr>
            <a:graphicFrameLocks/>
          </wp:cNvGraphicFramePr>
          <a:graphic>
            <a:graphicData uri="http://schemas.openxmlformats.org/drawingml/2006/picture">
              <pic:pic>
                <pic:nvPicPr>
                  <pic:cNvPr id="164" name="Image 164"/>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2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15488">
          <wp:simplePos x="0" y="0"/>
          <wp:positionH relativeFrom="page">
            <wp:posOffset>0</wp:posOffset>
          </wp:positionH>
          <wp:positionV relativeFrom="page">
            <wp:posOffset>10125202</wp:posOffset>
          </wp:positionV>
          <wp:extent cx="7559040" cy="566928"/>
          <wp:effectExtent l="0" t="0" r="0" b="0"/>
          <wp:wrapNone/>
          <wp:docPr id="169" name="Image 169"/>
          <wp:cNvGraphicFramePr>
            <a:graphicFrameLocks/>
          </wp:cNvGraphicFramePr>
          <a:graphic>
            <a:graphicData uri="http://schemas.openxmlformats.org/drawingml/2006/picture">
              <pic:pic>
                <pic:nvPicPr>
                  <pic:cNvPr id="169" name="Image 169"/>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2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17024">
          <wp:simplePos x="0" y="0"/>
          <wp:positionH relativeFrom="page">
            <wp:posOffset>0</wp:posOffset>
          </wp:positionH>
          <wp:positionV relativeFrom="page">
            <wp:posOffset>10125202</wp:posOffset>
          </wp:positionV>
          <wp:extent cx="7559040" cy="566928"/>
          <wp:effectExtent l="0" t="0" r="0" b="0"/>
          <wp:wrapNone/>
          <wp:docPr id="172" name="Image 172"/>
          <wp:cNvGraphicFramePr>
            <a:graphicFrameLocks/>
          </wp:cNvGraphicFramePr>
          <a:graphic>
            <a:graphicData uri="http://schemas.openxmlformats.org/drawingml/2006/picture">
              <pic:pic>
                <pic:nvPicPr>
                  <pic:cNvPr id="172" name="Image 172"/>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2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17536">
          <wp:simplePos x="0" y="0"/>
          <wp:positionH relativeFrom="page">
            <wp:posOffset>0</wp:posOffset>
          </wp:positionH>
          <wp:positionV relativeFrom="page">
            <wp:posOffset>10125202</wp:posOffset>
          </wp:positionV>
          <wp:extent cx="7559040" cy="566928"/>
          <wp:effectExtent l="0" t="0" r="0" b="0"/>
          <wp:wrapNone/>
          <wp:docPr id="173" name="Image 173"/>
          <wp:cNvGraphicFramePr>
            <a:graphicFrameLocks/>
          </wp:cNvGraphicFramePr>
          <a:graphic>
            <a:graphicData uri="http://schemas.openxmlformats.org/drawingml/2006/picture">
              <pic:pic>
                <pic:nvPicPr>
                  <pic:cNvPr id="173" name="Image 173"/>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2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18048">
          <wp:simplePos x="0" y="0"/>
          <wp:positionH relativeFrom="page">
            <wp:posOffset>0</wp:posOffset>
          </wp:positionH>
          <wp:positionV relativeFrom="page">
            <wp:posOffset>6993381</wp:posOffset>
          </wp:positionV>
          <wp:extent cx="7559040" cy="566928"/>
          <wp:effectExtent l="0" t="0" r="0" b="0"/>
          <wp:wrapNone/>
          <wp:docPr id="175" name="Image 175"/>
          <wp:cNvGraphicFramePr>
            <a:graphicFrameLocks/>
          </wp:cNvGraphicFramePr>
          <a:graphic>
            <a:graphicData uri="http://schemas.openxmlformats.org/drawingml/2006/picture">
              <pic:pic>
                <pic:nvPicPr>
                  <pic:cNvPr id="175" name="Image 175"/>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2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19072">
          <wp:simplePos x="0" y="0"/>
          <wp:positionH relativeFrom="page">
            <wp:posOffset>0</wp:posOffset>
          </wp:positionH>
          <wp:positionV relativeFrom="page">
            <wp:posOffset>10125202</wp:posOffset>
          </wp:positionV>
          <wp:extent cx="7559040" cy="566928"/>
          <wp:effectExtent l="0" t="0" r="0" b="0"/>
          <wp:wrapNone/>
          <wp:docPr id="178" name="Image 178"/>
          <wp:cNvGraphicFramePr>
            <a:graphicFrameLocks/>
          </wp:cNvGraphicFramePr>
          <a:graphic>
            <a:graphicData uri="http://schemas.openxmlformats.org/drawingml/2006/picture">
              <pic:pic>
                <pic:nvPicPr>
                  <pic:cNvPr id="178" name="Image 178"/>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2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20096">
          <wp:simplePos x="0" y="0"/>
          <wp:positionH relativeFrom="page">
            <wp:posOffset>0</wp:posOffset>
          </wp:positionH>
          <wp:positionV relativeFrom="page">
            <wp:posOffset>10125202</wp:posOffset>
          </wp:positionV>
          <wp:extent cx="7559040" cy="566928"/>
          <wp:effectExtent l="0" t="0" r="0" b="0"/>
          <wp:wrapNone/>
          <wp:docPr id="182" name="Image 182"/>
          <wp:cNvGraphicFramePr>
            <a:graphicFrameLocks/>
          </wp:cNvGraphicFramePr>
          <a:graphic>
            <a:graphicData uri="http://schemas.openxmlformats.org/drawingml/2006/picture">
              <pic:pic>
                <pic:nvPicPr>
                  <pic:cNvPr id="182" name="Image 182"/>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2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21120">
          <wp:simplePos x="0" y="0"/>
          <wp:positionH relativeFrom="page">
            <wp:posOffset>0</wp:posOffset>
          </wp:positionH>
          <wp:positionV relativeFrom="page">
            <wp:posOffset>10125202</wp:posOffset>
          </wp:positionV>
          <wp:extent cx="7559040" cy="566928"/>
          <wp:effectExtent l="0" t="0" r="0" b="0"/>
          <wp:wrapNone/>
          <wp:docPr id="186" name="Image 186"/>
          <wp:cNvGraphicFramePr>
            <a:graphicFrameLocks/>
          </wp:cNvGraphicFramePr>
          <a:graphic>
            <a:graphicData uri="http://schemas.openxmlformats.org/drawingml/2006/picture">
              <pic:pic>
                <pic:nvPicPr>
                  <pic:cNvPr id="186" name="Image 186"/>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88352">
          <wp:simplePos x="0" y="0"/>
          <wp:positionH relativeFrom="page">
            <wp:posOffset>0</wp:posOffset>
          </wp:positionH>
          <wp:positionV relativeFrom="page">
            <wp:posOffset>10125202</wp:posOffset>
          </wp:positionV>
          <wp:extent cx="7559040" cy="566928"/>
          <wp:effectExtent l="0" t="0" r="0" b="0"/>
          <wp:wrapNone/>
          <wp:docPr id="73" name="Image 73"/>
          <wp:cNvGraphicFramePr>
            <a:graphicFrameLocks/>
          </wp:cNvGraphicFramePr>
          <a:graphic>
            <a:graphicData uri="http://schemas.openxmlformats.org/drawingml/2006/picture">
              <pic:pic>
                <pic:nvPicPr>
                  <pic:cNvPr id="73" name="Image 73"/>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3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22144">
          <wp:simplePos x="0" y="0"/>
          <wp:positionH relativeFrom="page">
            <wp:posOffset>0</wp:posOffset>
          </wp:positionH>
          <wp:positionV relativeFrom="page">
            <wp:posOffset>10125202</wp:posOffset>
          </wp:positionV>
          <wp:extent cx="7559040" cy="566928"/>
          <wp:effectExtent l="0" t="0" r="0" b="0"/>
          <wp:wrapNone/>
          <wp:docPr id="190" name="Image 190"/>
          <wp:cNvGraphicFramePr>
            <a:graphicFrameLocks/>
          </wp:cNvGraphicFramePr>
          <a:graphic>
            <a:graphicData uri="http://schemas.openxmlformats.org/drawingml/2006/picture">
              <pic:pic>
                <pic:nvPicPr>
                  <pic:cNvPr id="190" name="Image 190"/>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3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23168">
          <wp:simplePos x="0" y="0"/>
          <wp:positionH relativeFrom="page">
            <wp:posOffset>0</wp:posOffset>
          </wp:positionH>
          <wp:positionV relativeFrom="page">
            <wp:posOffset>10125202</wp:posOffset>
          </wp:positionV>
          <wp:extent cx="7559040" cy="566928"/>
          <wp:effectExtent l="0" t="0" r="0" b="0"/>
          <wp:wrapNone/>
          <wp:docPr id="193" name="Image 193"/>
          <wp:cNvGraphicFramePr>
            <a:graphicFrameLocks/>
          </wp:cNvGraphicFramePr>
          <a:graphic>
            <a:graphicData uri="http://schemas.openxmlformats.org/drawingml/2006/picture">
              <pic:pic>
                <pic:nvPicPr>
                  <pic:cNvPr id="193" name="Image 193"/>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3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89888">
          <wp:simplePos x="0" y="0"/>
          <wp:positionH relativeFrom="page">
            <wp:posOffset>0</wp:posOffset>
          </wp:positionH>
          <wp:positionV relativeFrom="page">
            <wp:posOffset>10125202</wp:posOffset>
          </wp:positionV>
          <wp:extent cx="7559040" cy="566928"/>
          <wp:effectExtent l="0" t="0" r="0" b="0"/>
          <wp:wrapNone/>
          <wp:docPr id="76" name="Image 76"/>
          <wp:cNvGraphicFramePr>
            <a:graphicFrameLocks/>
          </wp:cNvGraphicFramePr>
          <a:graphic>
            <a:graphicData uri="http://schemas.openxmlformats.org/drawingml/2006/picture">
              <pic:pic>
                <pic:nvPicPr>
                  <pic:cNvPr id="76" name="Image 76"/>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91424">
          <wp:simplePos x="0" y="0"/>
          <wp:positionH relativeFrom="page">
            <wp:posOffset>0</wp:posOffset>
          </wp:positionH>
          <wp:positionV relativeFrom="page">
            <wp:posOffset>10125202</wp:posOffset>
          </wp:positionV>
          <wp:extent cx="7559040" cy="566928"/>
          <wp:effectExtent l="0" t="0" r="0" b="0"/>
          <wp:wrapNone/>
          <wp:docPr id="79" name="Image 79"/>
          <wp:cNvGraphicFramePr>
            <a:graphicFrameLocks/>
          </wp:cNvGraphicFramePr>
          <a:graphic>
            <a:graphicData uri="http://schemas.openxmlformats.org/drawingml/2006/picture">
              <pic:pic>
                <pic:nvPicPr>
                  <pic:cNvPr id="79" name="Image 79"/>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91936">
          <wp:simplePos x="0" y="0"/>
          <wp:positionH relativeFrom="page">
            <wp:posOffset>0</wp:posOffset>
          </wp:positionH>
          <wp:positionV relativeFrom="page">
            <wp:posOffset>10125202</wp:posOffset>
          </wp:positionV>
          <wp:extent cx="7559040" cy="566928"/>
          <wp:effectExtent l="0" t="0" r="0" b="0"/>
          <wp:wrapNone/>
          <wp:docPr id="80" name="Image 80"/>
          <wp:cNvGraphicFramePr>
            <a:graphicFrameLocks/>
          </wp:cNvGraphicFramePr>
          <a:graphic>
            <a:graphicData uri="http://schemas.openxmlformats.org/drawingml/2006/picture">
              <pic:pic>
                <pic:nvPicPr>
                  <pic:cNvPr id="80" name="Image 80"/>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93472">
          <wp:simplePos x="0" y="0"/>
          <wp:positionH relativeFrom="page">
            <wp:posOffset>0</wp:posOffset>
          </wp:positionH>
          <wp:positionV relativeFrom="page">
            <wp:posOffset>10125202</wp:posOffset>
          </wp:positionV>
          <wp:extent cx="7559040" cy="566928"/>
          <wp:effectExtent l="0" t="0" r="0" b="0"/>
          <wp:wrapNone/>
          <wp:docPr id="87" name="Image 87"/>
          <wp:cNvGraphicFramePr>
            <a:graphicFrameLocks/>
          </wp:cNvGraphicFramePr>
          <a:graphic>
            <a:graphicData uri="http://schemas.openxmlformats.org/drawingml/2006/picture">
              <pic:pic>
                <pic:nvPicPr>
                  <pic:cNvPr id="87" name="Image 87"/>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95008">
          <wp:simplePos x="0" y="0"/>
          <wp:positionH relativeFrom="page">
            <wp:posOffset>0</wp:posOffset>
          </wp:positionH>
          <wp:positionV relativeFrom="page">
            <wp:posOffset>10125202</wp:posOffset>
          </wp:positionV>
          <wp:extent cx="7559040" cy="566928"/>
          <wp:effectExtent l="0" t="0" r="0" b="0"/>
          <wp:wrapNone/>
          <wp:docPr id="90" name="Image 90"/>
          <wp:cNvGraphicFramePr>
            <a:graphicFrameLocks/>
          </wp:cNvGraphicFramePr>
          <a:graphic>
            <a:graphicData uri="http://schemas.openxmlformats.org/drawingml/2006/picture">
              <pic:pic>
                <pic:nvPicPr>
                  <pic:cNvPr id="90" name="Image 90"/>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5996032">
          <wp:simplePos x="0" y="0"/>
          <wp:positionH relativeFrom="page">
            <wp:posOffset>0</wp:posOffset>
          </wp:positionH>
          <wp:positionV relativeFrom="page">
            <wp:posOffset>10125202</wp:posOffset>
          </wp:positionV>
          <wp:extent cx="7559040" cy="566928"/>
          <wp:effectExtent l="0" t="0" r="0" b="0"/>
          <wp:wrapNone/>
          <wp:docPr id="92" name="Image 92"/>
          <wp:cNvGraphicFramePr>
            <a:graphicFrameLocks/>
          </wp:cNvGraphicFramePr>
          <a:graphic>
            <a:graphicData uri="http://schemas.openxmlformats.org/drawingml/2006/picture">
              <pic:pic>
                <pic:nvPicPr>
                  <pic:cNvPr id="92" name="Image 92"/>
                  <pic:cNvPicPr/>
                </pic:nvPicPr>
                <pic:blipFill>
                  <a:blip r:embed="rId1" cstate="print"/>
                  <a:stretch>
                    <a:fillRect/>
                  </a:stretch>
                </pic:blipFill>
                <pic:spPr>
                  <a:xfrm>
                    <a:off x="0" y="0"/>
                    <a:ext cx="7559040" cy="566928"/>
                  </a:xfrm>
                  <a:prstGeom prst="rect">
                    <a:avLst/>
                  </a:prstGeom>
                </pic:spPr>
              </pic:pic>
            </a:graphicData>
          </a:graphic>
        </wp:anchor>
      </w:drawing>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28640">
          <wp:simplePos x="0" y="0"/>
          <wp:positionH relativeFrom="page">
            <wp:posOffset>0</wp:posOffset>
          </wp:positionH>
          <wp:positionV relativeFrom="page">
            <wp:posOffset>0</wp:posOffset>
          </wp:positionV>
          <wp:extent cx="7559040" cy="858265"/>
          <wp:effectExtent l="0" t="0" r="0" b="0"/>
          <wp:wrapNone/>
          <wp:docPr id="65" name="Image 65"/>
          <wp:cNvGraphicFramePr>
            <a:graphicFrameLocks/>
          </wp:cNvGraphicFramePr>
          <a:graphic>
            <a:graphicData uri="http://schemas.openxmlformats.org/drawingml/2006/picture">
              <pic:pic>
                <pic:nvPicPr>
                  <pic:cNvPr id="65" name="Image 65"/>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983232">
              <wp:simplePos x="0" y="0"/>
              <wp:positionH relativeFrom="page">
                <wp:posOffset>6486778</wp:posOffset>
              </wp:positionH>
              <wp:positionV relativeFrom="page">
                <wp:posOffset>443314</wp:posOffset>
              </wp:positionV>
              <wp:extent cx="224154" cy="194310"/>
              <wp:effectExtent l="0" t="0" r="0" b="0"/>
              <wp:wrapNone/>
              <wp:docPr id="66" name="Textbox 66"/>
              <wp:cNvGraphicFramePr>
                <a:graphicFrameLocks/>
              </wp:cNvGraphicFramePr>
              <a:graphic>
                <a:graphicData uri="http://schemas.microsoft.com/office/word/2010/wordprocessingShape">
                  <wps:wsp>
                    <wps:cNvPr id="66" name="Textbox 66"/>
                    <wps:cNvSpPr txBox="1"/>
                    <wps:spPr>
                      <a:xfrm>
                        <a:off x="0" y="0"/>
                        <a:ext cx="224154" cy="194310"/>
                      </a:xfrm>
                      <a:prstGeom prst="rect">
                        <a:avLst/>
                      </a:prstGeom>
                    </wps:spPr>
                    <wps:txbx>
                      <w:txbxContent>
                        <w:p>
                          <w:pPr>
                            <w:pStyle w:val="BodyText"/>
                            <w:spacing w:before="10"/>
                            <w:ind w:left="20"/>
                          </w:pPr>
                          <w:r>
                            <w:rPr>
                              <w:spacing w:val="-5"/>
                            </w:rPr>
                            <w:fldChar w:fldCharType="begin"/>
                          </w:r>
                          <w:r>
                            <w:rPr>
                              <w:spacing w:val="-5"/>
                            </w:rPr>
                            <w:instrText> PAGE  \* roman </w:instrText>
                          </w:r>
                          <w:r>
                            <w:rPr>
                              <w:spacing w:val="-5"/>
                            </w:rPr>
                            <w:fldChar w:fldCharType="separate"/>
                          </w:r>
                          <w:r>
                            <w:rPr>
                              <w:spacing w:val="-5"/>
                            </w:rPr>
                            <w:t>vii</w:t>
                          </w:r>
                          <w:r>
                            <w:rPr>
                              <w:spacing w:val="-5"/>
                            </w:rPr>
                            <w:fldChar w:fldCharType="end"/>
                          </w:r>
                        </w:p>
                      </w:txbxContent>
                    </wps:txbx>
                    <wps:bodyPr wrap="square" lIns="0" tIns="0" rIns="0" bIns="0" rtlCol="0">
                      <a:noAutofit/>
                    </wps:bodyPr>
                  </wps:wsp>
                </a:graphicData>
              </a:graphic>
            </wp:anchor>
          </w:drawing>
        </mc:Choice>
        <mc:Fallback>
          <w:pict>
            <v:shape style="position:absolute;margin-left:510.769989pt;margin-top:34.906666pt;width:17.650pt;height:15.3pt;mso-position-horizontal-relative:page;mso-position-vertical-relative:page;z-index:-17333248" type="#_x0000_t202" id="docshape61" filled="false" stroked="false">
              <v:textbox inset="0,0,0,0">
                <w:txbxContent>
                  <w:p>
                    <w:pPr>
                      <w:pStyle w:val="BodyText"/>
                      <w:spacing w:before="10"/>
                      <w:ind w:left="20"/>
                    </w:pPr>
                    <w:r>
                      <w:rPr>
                        <w:spacing w:val="-5"/>
                      </w:rPr>
                      <w:fldChar w:fldCharType="begin"/>
                    </w:r>
                    <w:r>
                      <w:rPr>
                        <w:spacing w:val="-5"/>
                      </w:rPr>
                      <w:instrText> PAGE  \* roman </w:instrText>
                    </w:r>
                    <w:r>
                      <w:rPr>
                        <w:spacing w:val="-5"/>
                      </w:rPr>
                      <w:fldChar w:fldCharType="separate"/>
                    </w:r>
                    <w:r>
                      <w:rPr>
                        <w:spacing w:val="-5"/>
                      </w:rPr>
                      <w:t>vii</w:t>
                    </w:r>
                    <w:r>
                      <w:rPr>
                        <w:spacing w:val="-5"/>
                      </w:rPr>
                      <w:fldChar w:fldCharType="end"/>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42464">
          <wp:simplePos x="0" y="0"/>
          <wp:positionH relativeFrom="page">
            <wp:posOffset>0</wp:posOffset>
          </wp:positionH>
          <wp:positionV relativeFrom="page">
            <wp:posOffset>0</wp:posOffset>
          </wp:positionV>
          <wp:extent cx="7559040" cy="858265"/>
          <wp:effectExtent l="0" t="0" r="0" b="0"/>
          <wp:wrapNone/>
          <wp:docPr id="99" name="Image 99"/>
          <wp:cNvGraphicFramePr>
            <a:graphicFrameLocks/>
          </wp:cNvGraphicFramePr>
          <a:graphic>
            <a:graphicData uri="http://schemas.openxmlformats.org/drawingml/2006/picture">
              <pic:pic>
                <pic:nvPicPr>
                  <pic:cNvPr id="99" name="Image 99"/>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997056">
              <wp:simplePos x="0" y="0"/>
              <wp:positionH relativeFrom="page">
                <wp:posOffset>6495669</wp:posOffset>
              </wp:positionH>
              <wp:positionV relativeFrom="page">
                <wp:posOffset>443314</wp:posOffset>
              </wp:positionV>
              <wp:extent cx="215900" cy="194310"/>
              <wp:effectExtent l="0" t="0" r="0" b="0"/>
              <wp:wrapNone/>
              <wp:docPr id="100" name="Textbox 100"/>
              <wp:cNvGraphicFramePr>
                <a:graphicFrameLocks/>
              </wp:cNvGraphicFramePr>
              <a:graphic>
                <a:graphicData uri="http://schemas.microsoft.com/office/word/2010/wordprocessingShape">
                  <wps:wsp>
                    <wps:cNvPr id="100" name="Textbox 100"/>
                    <wps:cNvSpPr txBox="1"/>
                    <wps:spPr>
                      <a:xfrm>
                        <a:off x="0" y="0"/>
                        <a:ext cx="215900" cy="194310"/>
                      </a:xfrm>
                      <a:prstGeom prst="rect">
                        <a:avLst/>
                      </a:prstGeom>
                    </wps:spPr>
                    <wps:txbx>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 style="position:absolute;margin-left:511.470001pt;margin-top:34.906666pt;width:17pt;height:15.3pt;mso-position-horizontal-relative:page;mso-position-vertical-relative:page;z-index:-17319424" type="#_x0000_t202" id="docshape76" filled="false" stroked="false">
              <v:textbox inset="0,0,0,0">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44000">
          <wp:simplePos x="0" y="0"/>
          <wp:positionH relativeFrom="page">
            <wp:posOffset>0</wp:posOffset>
          </wp:positionH>
          <wp:positionV relativeFrom="page">
            <wp:posOffset>0</wp:posOffset>
          </wp:positionV>
          <wp:extent cx="7559040" cy="858265"/>
          <wp:effectExtent l="0" t="0" r="0" b="0"/>
          <wp:wrapNone/>
          <wp:docPr id="102" name="Image 102"/>
          <wp:cNvGraphicFramePr>
            <a:graphicFrameLocks/>
          </wp:cNvGraphicFramePr>
          <a:graphic>
            <a:graphicData uri="http://schemas.openxmlformats.org/drawingml/2006/picture">
              <pic:pic>
                <pic:nvPicPr>
                  <pic:cNvPr id="102" name="Image 102"/>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998592">
              <wp:simplePos x="0" y="0"/>
              <wp:positionH relativeFrom="page">
                <wp:posOffset>6470269</wp:posOffset>
              </wp:positionH>
              <wp:positionV relativeFrom="page">
                <wp:posOffset>443314</wp:posOffset>
              </wp:positionV>
              <wp:extent cx="241300" cy="194310"/>
              <wp:effectExtent l="0" t="0" r="0" b="0"/>
              <wp:wrapNone/>
              <wp:docPr id="103" name="Textbox 103"/>
              <wp:cNvGraphicFramePr>
                <a:graphicFrameLocks/>
              </wp:cNvGraphicFramePr>
              <a:graphic>
                <a:graphicData uri="http://schemas.microsoft.com/office/word/2010/wordprocessingShape">
                  <wps:wsp>
                    <wps:cNvPr id="103" name="Textbox 103"/>
                    <wps:cNvSpPr txBox="1"/>
                    <wps:spPr>
                      <a:xfrm>
                        <a:off x="0" y="0"/>
                        <a:ext cx="2413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35</w:t>
                          </w:r>
                          <w:r>
                            <w:rPr>
                              <w:spacing w:val="-5"/>
                            </w:rPr>
                            <w:fldChar w:fldCharType="end"/>
                          </w:r>
                        </w:p>
                      </w:txbxContent>
                    </wps:txbx>
                    <wps:bodyPr wrap="square" lIns="0" tIns="0" rIns="0" bIns="0" rtlCol="0">
                      <a:noAutofit/>
                    </wps:bodyPr>
                  </wps:wsp>
                </a:graphicData>
              </a:graphic>
            </wp:anchor>
          </w:drawing>
        </mc:Choice>
        <mc:Fallback>
          <w:pict>
            <v:shape style="position:absolute;margin-left:509.470001pt;margin-top:34.906666pt;width:19pt;height:15.3pt;mso-position-horizontal-relative:page;mso-position-vertical-relative:page;z-index:-17317888" type="#_x0000_t202" id="docshape77"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35</w:t>
                    </w:r>
                    <w:r>
                      <w:rPr>
                        <w:spacing w:val="-5"/>
                      </w:rPr>
                      <w:fldChar w:fldCharType="end"/>
                    </w:r>
                  </w:p>
                </w:txbxContent>
              </v:textbox>
              <w10:wrap type="none"/>
            </v:shape>
          </w:pict>
        </mc:Fallback>
      </mc:AlternateContent>
    </w: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46048">
          <wp:simplePos x="0" y="0"/>
          <wp:positionH relativeFrom="page">
            <wp:posOffset>0</wp:posOffset>
          </wp:positionH>
          <wp:positionV relativeFrom="page">
            <wp:posOffset>0</wp:posOffset>
          </wp:positionV>
          <wp:extent cx="7559040" cy="858265"/>
          <wp:effectExtent l="0" t="0" r="0" b="0"/>
          <wp:wrapNone/>
          <wp:docPr id="110" name="Image 110"/>
          <wp:cNvGraphicFramePr>
            <a:graphicFrameLocks/>
          </wp:cNvGraphicFramePr>
          <a:graphic>
            <a:graphicData uri="http://schemas.openxmlformats.org/drawingml/2006/picture">
              <pic:pic>
                <pic:nvPicPr>
                  <pic:cNvPr id="110" name="Image 110"/>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00640">
              <wp:simplePos x="0" y="0"/>
              <wp:positionH relativeFrom="page">
                <wp:posOffset>6470269</wp:posOffset>
              </wp:positionH>
              <wp:positionV relativeFrom="page">
                <wp:posOffset>443314</wp:posOffset>
              </wp:positionV>
              <wp:extent cx="241300" cy="194310"/>
              <wp:effectExtent l="0" t="0" r="0" b="0"/>
              <wp:wrapNone/>
              <wp:docPr id="111" name="Textbox 111"/>
              <wp:cNvGraphicFramePr>
                <a:graphicFrameLocks/>
              </wp:cNvGraphicFramePr>
              <a:graphic>
                <a:graphicData uri="http://schemas.microsoft.com/office/word/2010/wordprocessingShape">
                  <wps:wsp>
                    <wps:cNvPr id="111" name="Textbox 111"/>
                    <wps:cNvSpPr txBox="1"/>
                    <wps:spPr>
                      <a:xfrm>
                        <a:off x="0" y="0"/>
                        <a:ext cx="2413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37</w:t>
                          </w:r>
                          <w:r>
                            <w:rPr>
                              <w:spacing w:val="-5"/>
                            </w:rPr>
                            <w:fldChar w:fldCharType="end"/>
                          </w:r>
                        </w:p>
                      </w:txbxContent>
                    </wps:txbx>
                    <wps:bodyPr wrap="square" lIns="0" tIns="0" rIns="0" bIns="0" rtlCol="0">
                      <a:noAutofit/>
                    </wps:bodyPr>
                  </wps:wsp>
                </a:graphicData>
              </a:graphic>
            </wp:anchor>
          </w:drawing>
        </mc:Choice>
        <mc:Fallback>
          <w:pict>
            <v:shape style="position:absolute;margin-left:509.470001pt;margin-top:34.906666pt;width:19pt;height:15.3pt;mso-position-horizontal-relative:page;mso-position-vertical-relative:page;z-index:-17315840" type="#_x0000_t202" id="docshape81"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37</w:t>
                    </w:r>
                    <w:r>
                      <w:rPr>
                        <w:spacing w:val="-5"/>
                      </w:rPr>
                      <w:fldChar w:fldCharType="end"/>
                    </w:r>
                  </w:p>
                </w:txbxContent>
              </v:textbox>
              <w10:wrap type="none"/>
            </v:shape>
          </w:pict>
        </mc:Fallback>
      </mc:AlternateContent>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47584">
          <wp:simplePos x="0" y="0"/>
          <wp:positionH relativeFrom="page">
            <wp:posOffset>0</wp:posOffset>
          </wp:positionH>
          <wp:positionV relativeFrom="page">
            <wp:posOffset>0</wp:posOffset>
          </wp:positionV>
          <wp:extent cx="7559040" cy="858265"/>
          <wp:effectExtent l="0" t="0" r="0" b="0"/>
          <wp:wrapNone/>
          <wp:docPr id="122" name="Image 122"/>
          <wp:cNvGraphicFramePr>
            <a:graphicFrameLocks/>
          </wp:cNvGraphicFramePr>
          <a:graphic>
            <a:graphicData uri="http://schemas.openxmlformats.org/drawingml/2006/picture">
              <pic:pic>
                <pic:nvPicPr>
                  <pic:cNvPr id="122" name="Image 122"/>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02176">
              <wp:simplePos x="0" y="0"/>
              <wp:positionH relativeFrom="page">
                <wp:posOffset>6470269</wp:posOffset>
              </wp:positionH>
              <wp:positionV relativeFrom="page">
                <wp:posOffset>443314</wp:posOffset>
              </wp:positionV>
              <wp:extent cx="241300" cy="194310"/>
              <wp:effectExtent l="0" t="0" r="0" b="0"/>
              <wp:wrapNone/>
              <wp:docPr id="123" name="Textbox 123"/>
              <wp:cNvGraphicFramePr>
                <a:graphicFrameLocks/>
              </wp:cNvGraphicFramePr>
              <a:graphic>
                <a:graphicData uri="http://schemas.microsoft.com/office/word/2010/wordprocessingShape">
                  <wps:wsp>
                    <wps:cNvPr id="123" name="Textbox 123"/>
                    <wps:cNvSpPr txBox="1"/>
                    <wps:spPr>
                      <a:xfrm>
                        <a:off x="0" y="0"/>
                        <a:ext cx="2413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38</w:t>
                          </w:r>
                          <w:r>
                            <w:rPr>
                              <w:spacing w:val="-5"/>
                            </w:rPr>
                            <w:fldChar w:fldCharType="end"/>
                          </w:r>
                        </w:p>
                      </w:txbxContent>
                    </wps:txbx>
                    <wps:bodyPr wrap="square" lIns="0" tIns="0" rIns="0" bIns="0" rtlCol="0">
                      <a:noAutofit/>
                    </wps:bodyPr>
                  </wps:wsp>
                </a:graphicData>
              </a:graphic>
            </wp:anchor>
          </w:drawing>
        </mc:Choice>
        <mc:Fallback>
          <w:pict>
            <v:shape style="position:absolute;margin-left:509.470001pt;margin-top:34.906666pt;width:19pt;height:15.3pt;mso-position-horizontal-relative:page;mso-position-vertical-relative:page;z-index:-17314304" type="#_x0000_t202" id="docshape91"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38</w:t>
                    </w:r>
                    <w:r>
                      <w:rPr>
                        <w:spacing w:val="-5"/>
                      </w:rPr>
                      <w:fldChar w:fldCharType="end"/>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49632">
          <wp:simplePos x="0" y="0"/>
          <wp:positionH relativeFrom="page">
            <wp:posOffset>0</wp:posOffset>
          </wp:positionH>
          <wp:positionV relativeFrom="page">
            <wp:posOffset>0</wp:posOffset>
          </wp:positionV>
          <wp:extent cx="7559040" cy="858265"/>
          <wp:effectExtent l="0" t="0" r="0" b="0"/>
          <wp:wrapNone/>
          <wp:docPr id="131" name="Image 131"/>
          <wp:cNvGraphicFramePr>
            <a:graphicFrameLocks/>
          </wp:cNvGraphicFramePr>
          <a:graphic>
            <a:graphicData uri="http://schemas.openxmlformats.org/drawingml/2006/picture">
              <pic:pic>
                <pic:nvPicPr>
                  <pic:cNvPr id="131" name="Image 131"/>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04224">
              <wp:simplePos x="0" y="0"/>
              <wp:positionH relativeFrom="page">
                <wp:posOffset>6470269</wp:posOffset>
              </wp:positionH>
              <wp:positionV relativeFrom="page">
                <wp:posOffset>443314</wp:posOffset>
              </wp:positionV>
              <wp:extent cx="241300" cy="194310"/>
              <wp:effectExtent l="0" t="0" r="0" b="0"/>
              <wp:wrapNone/>
              <wp:docPr id="132" name="Textbox 132"/>
              <wp:cNvGraphicFramePr>
                <a:graphicFrameLocks/>
              </wp:cNvGraphicFramePr>
              <a:graphic>
                <a:graphicData uri="http://schemas.microsoft.com/office/word/2010/wordprocessingShape">
                  <wps:wsp>
                    <wps:cNvPr id="132" name="Textbox 132"/>
                    <wps:cNvSpPr txBox="1"/>
                    <wps:spPr>
                      <a:xfrm>
                        <a:off x="0" y="0"/>
                        <a:ext cx="2413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40</w:t>
                          </w:r>
                          <w:r>
                            <w:rPr>
                              <w:spacing w:val="-5"/>
                            </w:rPr>
                            <w:fldChar w:fldCharType="end"/>
                          </w:r>
                        </w:p>
                      </w:txbxContent>
                    </wps:txbx>
                    <wps:bodyPr wrap="square" lIns="0" tIns="0" rIns="0" bIns="0" rtlCol="0">
                      <a:noAutofit/>
                    </wps:bodyPr>
                  </wps:wsp>
                </a:graphicData>
              </a:graphic>
            </wp:anchor>
          </w:drawing>
        </mc:Choice>
        <mc:Fallback>
          <w:pict>
            <v:shape style="position:absolute;margin-left:509.470001pt;margin-top:34.906666pt;width:19pt;height:15.3pt;mso-position-horizontal-relative:page;mso-position-vertical-relative:page;z-index:-17312256" type="#_x0000_t202" id="docshape96"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40</w:t>
                    </w:r>
                    <w:r>
                      <w:rPr>
                        <w:spacing w:val="-5"/>
                      </w:rPr>
                      <w:fldChar w:fldCharType="end"/>
                    </w:r>
                  </w:p>
                </w:txbxContent>
              </v:textbox>
              <w10:wrap type="none"/>
            </v:shape>
          </w:pict>
        </mc:Fallback>
      </mc:AlternateContent>
    </w: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51168">
          <wp:simplePos x="0" y="0"/>
          <wp:positionH relativeFrom="page">
            <wp:posOffset>0</wp:posOffset>
          </wp:positionH>
          <wp:positionV relativeFrom="page">
            <wp:posOffset>0</wp:posOffset>
          </wp:positionV>
          <wp:extent cx="7559040" cy="858265"/>
          <wp:effectExtent l="0" t="0" r="0" b="0"/>
          <wp:wrapNone/>
          <wp:docPr id="140" name="Image 140"/>
          <wp:cNvGraphicFramePr>
            <a:graphicFrameLocks/>
          </wp:cNvGraphicFramePr>
          <a:graphic>
            <a:graphicData uri="http://schemas.openxmlformats.org/drawingml/2006/picture">
              <pic:pic>
                <pic:nvPicPr>
                  <pic:cNvPr id="140" name="Image 140"/>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05760">
              <wp:simplePos x="0" y="0"/>
              <wp:positionH relativeFrom="page">
                <wp:posOffset>6470269</wp:posOffset>
              </wp:positionH>
              <wp:positionV relativeFrom="page">
                <wp:posOffset>443314</wp:posOffset>
              </wp:positionV>
              <wp:extent cx="241300" cy="194310"/>
              <wp:effectExtent l="0" t="0" r="0" b="0"/>
              <wp:wrapNone/>
              <wp:docPr id="141" name="Textbox 141"/>
              <wp:cNvGraphicFramePr>
                <a:graphicFrameLocks/>
              </wp:cNvGraphicFramePr>
              <a:graphic>
                <a:graphicData uri="http://schemas.microsoft.com/office/word/2010/wordprocessingShape">
                  <wps:wsp>
                    <wps:cNvPr id="141" name="Textbox 141"/>
                    <wps:cNvSpPr txBox="1"/>
                    <wps:spPr>
                      <a:xfrm>
                        <a:off x="0" y="0"/>
                        <a:ext cx="2413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44</w:t>
                          </w:r>
                          <w:r>
                            <w:rPr>
                              <w:spacing w:val="-5"/>
                            </w:rPr>
                            <w:fldChar w:fldCharType="end"/>
                          </w:r>
                        </w:p>
                      </w:txbxContent>
                    </wps:txbx>
                    <wps:bodyPr wrap="square" lIns="0" tIns="0" rIns="0" bIns="0" rtlCol="0">
                      <a:noAutofit/>
                    </wps:bodyPr>
                  </wps:wsp>
                </a:graphicData>
              </a:graphic>
            </wp:anchor>
          </w:drawing>
        </mc:Choice>
        <mc:Fallback>
          <w:pict>
            <v:shape style="position:absolute;margin-left:509.470001pt;margin-top:34.906666pt;width:19pt;height:15.3pt;mso-position-horizontal-relative:page;mso-position-vertical-relative:page;z-index:-17310720" type="#_x0000_t202" id="docshape102"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44</w:t>
                    </w:r>
                    <w:r>
                      <w:rPr>
                        <w:spacing w:val="-5"/>
                      </w:rPr>
                      <w:fldChar w:fldCharType="end"/>
                    </w:r>
                  </w:p>
                </w:txbxContent>
              </v:textbox>
              <w10:wrap type="none"/>
            </v:shape>
          </w:pict>
        </mc:Fallback>
      </mc:AlternateContent>
    </w: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52704">
          <wp:simplePos x="0" y="0"/>
          <wp:positionH relativeFrom="page">
            <wp:posOffset>0</wp:posOffset>
          </wp:positionH>
          <wp:positionV relativeFrom="page">
            <wp:posOffset>0</wp:posOffset>
          </wp:positionV>
          <wp:extent cx="7559040" cy="858265"/>
          <wp:effectExtent l="0" t="0" r="0" b="0"/>
          <wp:wrapNone/>
          <wp:docPr id="143" name="Image 143"/>
          <wp:cNvGraphicFramePr>
            <a:graphicFrameLocks/>
          </wp:cNvGraphicFramePr>
          <a:graphic>
            <a:graphicData uri="http://schemas.openxmlformats.org/drawingml/2006/picture">
              <pic:pic>
                <pic:nvPicPr>
                  <pic:cNvPr id="143" name="Image 143"/>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07296">
              <wp:simplePos x="0" y="0"/>
              <wp:positionH relativeFrom="page">
                <wp:posOffset>6470269</wp:posOffset>
              </wp:positionH>
              <wp:positionV relativeFrom="page">
                <wp:posOffset>443314</wp:posOffset>
              </wp:positionV>
              <wp:extent cx="241300" cy="194310"/>
              <wp:effectExtent l="0" t="0" r="0" b="0"/>
              <wp:wrapNone/>
              <wp:docPr id="144" name="Textbox 144"/>
              <wp:cNvGraphicFramePr>
                <a:graphicFrameLocks/>
              </wp:cNvGraphicFramePr>
              <a:graphic>
                <a:graphicData uri="http://schemas.microsoft.com/office/word/2010/wordprocessingShape">
                  <wps:wsp>
                    <wps:cNvPr id="144" name="Textbox 144"/>
                    <wps:cNvSpPr txBox="1"/>
                    <wps:spPr>
                      <a:xfrm>
                        <a:off x="0" y="0"/>
                        <a:ext cx="2413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46</w:t>
                          </w:r>
                          <w:r>
                            <w:rPr>
                              <w:spacing w:val="-5"/>
                            </w:rPr>
                            <w:fldChar w:fldCharType="end"/>
                          </w:r>
                        </w:p>
                      </w:txbxContent>
                    </wps:txbx>
                    <wps:bodyPr wrap="square" lIns="0" tIns="0" rIns="0" bIns="0" rtlCol="0">
                      <a:noAutofit/>
                    </wps:bodyPr>
                  </wps:wsp>
                </a:graphicData>
              </a:graphic>
            </wp:anchor>
          </w:drawing>
        </mc:Choice>
        <mc:Fallback>
          <w:pict>
            <v:shape style="position:absolute;margin-left:509.470001pt;margin-top:34.906666pt;width:19pt;height:15.3pt;mso-position-horizontal-relative:page;mso-position-vertical-relative:page;z-index:-17309184" type="#_x0000_t202" id="docshape103"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46</w:t>
                    </w:r>
                    <w:r>
                      <w:rPr>
                        <w:spacing w:val="-5"/>
                      </w:rPr>
                      <w:fldChar w:fldCharType="end"/>
                    </w:r>
                  </w:p>
                </w:txbxContent>
              </v:textbox>
              <w10:wrap type="none"/>
            </v:shape>
          </w:pict>
        </mc:Fallback>
      </mc:AlternateContent>
    </w:r>
  </w:p>
</w:hdr>
</file>

<file path=word/header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54752">
          <wp:simplePos x="0" y="0"/>
          <wp:positionH relativeFrom="page">
            <wp:posOffset>0</wp:posOffset>
          </wp:positionH>
          <wp:positionV relativeFrom="page">
            <wp:posOffset>0</wp:posOffset>
          </wp:positionV>
          <wp:extent cx="7559040" cy="858265"/>
          <wp:effectExtent l="0" t="0" r="0" b="0"/>
          <wp:wrapNone/>
          <wp:docPr id="147" name="Image 147"/>
          <wp:cNvGraphicFramePr>
            <a:graphicFrameLocks/>
          </wp:cNvGraphicFramePr>
          <a:graphic>
            <a:graphicData uri="http://schemas.openxmlformats.org/drawingml/2006/picture">
              <pic:pic>
                <pic:nvPicPr>
                  <pic:cNvPr id="147" name="Image 147"/>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09344">
              <wp:simplePos x="0" y="0"/>
              <wp:positionH relativeFrom="page">
                <wp:posOffset>6470269</wp:posOffset>
              </wp:positionH>
              <wp:positionV relativeFrom="page">
                <wp:posOffset>443314</wp:posOffset>
              </wp:positionV>
              <wp:extent cx="241300" cy="194310"/>
              <wp:effectExtent l="0" t="0" r="0" b="0"/>
              <wp:wrapNone/>
              <wp:docPr id="148" name="Textbox 148"/>
              <wp:cNvGraphicFramePr>
                <a:graphicFrameLocks/>
              </wp:cNvGraphicFramePr>
              <a:graphic>
                <a:graphicData uri="http://schemas.microsoft.com/office/word/2010/wordprocessingShape">
                  <wps:wsp>
                    <wps:cNvPr id="148" name="Textbox 148"/>
                    <wps:cNvSpPr txBox="1"/>
                    <wps:spPr>
                      <a:xfrm>
                        <a:off x="0" y="0"/>
                        <a:ext cx="2413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47</w:t>
                          </w:r>
                          <w:r>
                            <w:rPr>
                              <w:spacing w:val="-5"/>
                            </w:rPr>
                            <w:fldChar w:fldCharType="end"/>
                          </w:r>
                        </w:p>
                      </w:txbxContent>
                    </wps:txbx>
                    <wps:bodyPr wrap="square" lIns="0" tIns="0" rIns="0" bIns="0" rtlCol="0">
                      <a:noAutofit/>
                    </wps:bodyPr>
                  </wps:wsp>
                </a:graphicData>
              </a:graphic>
            </wp:anchor>
          </w:drawing>
        </mc:Choice>
        <mc:Fallback>
          <w:pict>
            <v:shape style="position:absolute;margin-left:509.470001pt;margin-top:34.906666pt;width:19pt;height:15.3pt;mso-position-horizontal-relative:page;mso-position-vertical-relative:page;z-index:-17307136" type="#_x0000_t202" id="docshape105"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47</w:t>
                    </w:r>
                    <w:r>
                      <w:rPr>
                        <w:spacing w:val="-5"/>
                      </w:rPr>
                      <w:fldChar w:fldCharType="end"/>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31712">
          <wp:simplePos x="0" y="0"/>
          <wp:positionH relativeFrom="page">
            <wp:posOffset>0</wp:posOffset>
          </wp:positionH>
          <wp:positionV relativeFrom="page">
            <wp:posOffset>0</wp:posOffset>
          </wp:positionV>
          <wp:extent cx="7559040" cy="858265"/>
          <wp:effectExtent l="0" t="0" r="0" b="0"/>
          <wp:wrapNone/>
          <wp:docPr id="68" name="Image 68"/>
          <wp:cNvGraphicFramePr>
            <a:graphicFrameLocks/>
          </wp:cNvGraphicFramePr>
          <a:graphic>
            <a:graphicData uri="http://schemas.openxmlformats.org/drawingml/2006/picture">
              <pic:pic>
                <pic:nvPicPr>
                  <pic:cNvPr id="68" name="Image 68"/>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986304">
              <wp:simplePos x="0" y="0"/>
              <wp:positionH relativeFrom="page">
                <wp:posOffset>6504558</wp:posOffset>
              </wp:positionH>
              <wp:positionV relativeFrom="page">
                <wp:posOffset>443314</wp:posOffset>
              </wp:positionV>
              <wp:extent cx="207010" cy="194310"/>
              <wp:effectExtent l="0" t="0" r="0" b="0"/>
              <wp:wrapNone/>
              <wp:docPr id="69" name="Textbox 69"/>
              <wp:cNvGraphicFramePr>
                <a:graphicFrameLocks/>
              </wp:cNvGraphicFramePr>
              <a:graphic>
                <a:graphicData uri="http://schemas.microsoft.com/office/word/2010/wordprocessingShape">
                  <wps:wsp>
                    <wps:cNvPr id="69" name="Textbox 69"/>
                    <wps:cNvSpPr txBox="1"/>
                    <wps:spPr>
                      <a:xfrm>
                        <a:off x="0" y="0"/>
                        <a:ext cx="207010" cy="194310"/>
                      </a:xfrm>
                      <a:prstGeom prst="rect">
                        <a:avLst/>
                      </a:prstGeom>
                    </wps:spPr>
                    <wps:txbx>
                      <w:txbxContent>
                        <w:p>
                          <w:pPr>
                            <w:pStyle w:val="BodyText"/>
                            <w:spacing w:before="10"/>
                            <w:ind w:left="60"/>
                          </w:pPr>
                          <w:r>
                            <w:rPr>
                              <w:spacing w:val="-5"/>
                            </w:rPr>
                            <w:fldChar w:fldCharType="begin"/>
                          </w:r>
                          <w:r>
                            <w:rPr>
                              <w:spacing w:val="-5"/>
                            </w:rPr>
                            <w:instrText> PAGE  \* roman </w:instrText>
                          </w:r>
                          <w:r>
                            <w:rPr>
                              <w:spacing w:val="-5"/>
                            </w:rPr>
                            <w:fldChar w:fldCharType="separate"/>
                          </w:r>
                          <w:r>
                            <w:rPr>
                              <w:spacing w:val="-5"/>
                            </w:rPr>
                            <w:t>ix</w:t>
                          </w:r>
                          <w:r>
                            <w:rPr>
                              <w:spacing w:val="-5"/>
                            </w:rPr>
                            <w:fldChar w:fldCharType="end"/>
                          </w:r>
                        </w:p>
                      </w:txbxContent>
                    </wps:txbx>
                    <wps:bodyPr wrap="square" lIns="0" tIns="0" rIns="0" bIns="0" rtlCol="0">
                      <a:noAutofit/>
                    </wps:bodyPr>
                  </wps:wsp>
                </a:graphicData>
              </a:graphic>
            </wp:anchor>
          </w:drawing>
        </mc:Choice>
        <mc:Fallback>
          <w:pict>
            <v:shape style="position:absolute;margin-left:512.169983pt;margin-top:34.906666pt;width:16.3pt;height:15.3pt;mso-position-horizontal-relative:page;mso-position-vertical-relative:page;z-index:-17330176" type="#_x0000_t202" id="docshape62" filled="false" stroked="false">
              <v:textbox inset="0,0,0,0">
                <w:txbxContent>
                  <w:p>
                    <w:pPr>
                      <w:pStyle w:val="BodyText"/>
                      <w:spacing w:before="10"/>
                      <w:ind w:left="60"/>
                    </w:pPr>
                    <w:r>
                      <w:rPr>
                        <w:spacing w:val="-5"/>
                      </w:rPr>
                      <w:fldChar w:fldCharType="begin"/>
                    </w:r>
                    <w:r>
                      <w:rPr>
                        <w:spacing w:val="-5"/>
                      </w:rPr>
                      <w:instrText> PAGE  \* roman </w:instrText>
                    </w:r>
                    <w:r>
                      <w:rPr>
                        <w:spacing w:val="-5"/>
                      </w:rPr>
                      <w:fldChar w:fldCharType="separate"/>
                    </w:r>
                    <w:r>
                      <w:rPr>
                        <w:spacing w:val="-5"/>
                      </w:rPr>
                      <w:t>ix</w:t>
                    </w:r>
                    <w:r>
                      <w:rPr>
                        <w:spacing w:val="-5"/>
                      </w:rPr>
                      <w:fldChar w:fldCharType="end"/>
                    </w:r>
                  </w:p>
                </w:txbxContent>
              </v:textbox>
              <w10:wrap type="none"/>
            </v:shape>
          </w:pict>
        </mc:Fallback>
      </mc:AlternateContent>
    </w:r>
  </w:p>
</w:hdr>
</file>

<file path=word/header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2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57312">
          <wp:simplePos x="0" y="0"/>
          <wp:positionH relativeFrom="page">
            <wp:posOffset>0</wp:posOffset>
          </wp:positionH>
          <wp:positionV relativeFrom="page">
            <wp:posOffset>0</wp:posOffset>
          </wp:positionV>
          <wp:extent cx="7559040" cy="858265"/>
          <wp:effectExtent l="0" t="0" r="0" b="0"/>
          <wp:wrapNone/>
          <wp:docPr id="156" name="Image 156"/>
          <wp:cNvGraphicFramePr>
            <a:graphicFrameLocks/>
          </wp:cNvGraphicFramePr>
          <a:graphic>
            <a:graphicData uri="http://schemas.openxmlformats.org/drawingml/2006/picture">
              <pic:pic>
                <pic:nvPicPr>
                  <pic:cNvPr id="156" name="Image 156"/>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11904">
              <wp:simplePos x="0" y="0"/>
              <wp:positionH relativeFrom="page">
                <wp:posOffset>6470269</wp:posOffset>
              </wp:positionH>
              <wp:positionV relativeFrom="page">
                <wp:posOffset>443314</wp:posOffset>
              </wp:positionV>
              <wp:extent cx="241300" cy="194310"/>
              <wp:effectExtent l="0" t="0" r="0" b="0"/>
              <wp:wrapNone/>
              <wp:docPr id="157" name="Textbox 157"/>
              <wp:cNvGraphicFramePr>
                <a:graphicFrameLocks/>
              </wp:cNvGraphicFramePr>
              <a:graphic>
                <a:graphicData uri="http://schemas.microsoft.com/office/word/2010/wordprocessingShape">
                  <wps:wsp>
                    <wps:cNvPr id="157" name="Textbox 157"/>
                    <wps:cNvSpPr txBox="1"/>
                    <wps:spPr>
                      <a:xfrm>
                        <a:off x="0" y="0"/>
                        <a:ext cx="2413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49</w:t>
                          </w:r>
                          <w:r>
                            <w:rPr>
                              <w:spacing w:val="-5"/>
                            </w:rPr>
                            <w:fldChar w:fldCharType="end"/>
                          </w:r>
                        </w:p>
                      </w:txbxContent>
                    </wps:txbx>
                    <wps:bodyPr wrap="square" lIns="0" tIns="0" rIns="0" bIns="0" rtlCol="0">
                      <a:noAutofit/>
                    </wps:bodyPr>
                  </wps:wsp>
                </a:graphicData>
              </a:graphic>
            </wp:anchor>
          </w:drawing>
        </mc:Choice>
        <mc:Fallback>
          <w:pict>
            <v:shape style="position:absolute;margin-left:509.470001pt;margin-top:34.906666pt;width:19pt;height:15.3pt;mso-position-horizontal-relative:page;mso-position-vertical-relative:page;z-index:-17304576" type="#_x0000_t202" id="docshape110"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49</w:t>
                    </w:r>
                    <w:r>
                      <w:rPr>
                        <w:spacing w:val="-5"/>
                      </w:rPr>
                      <w:fldChar w:fldCharType="end"/>
                    </w:r>
                  </w:p>
                </w:txbxContent>
              </v:textbox>
              <w10:wrap type="none"/>
            </v:shape>
          </w:pict>
        </mc:Fallback>
      </mc:AlternateContent>
    </w:r>
  </w:p>
</w:hdr>
</file>

<file path=word/header2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58848">
          <wp:simplePos x="0" y="0"/>
          <wp:positionH relativeFrom="page">
            <wp:posOffset>0</wp:posOffset>
          </wp:positionH>
          <wp:positionV relativeFrom="page">
            <wp:posOffset>0</wp:posOffset>
          </wp:positionV>
          <wp:extent cx="7559040" cy="858265"/>
          <wp:effectExtent l="0" t="0" r="0" b="0"/>
          <wp:wrapNone/>
          <wp:docPr id="162" name="Image 162"/>
          <wp:cNvGraphicFramePr>
            <a:graphicFrameLocks/>
          </wp:cNvGraphicFramePr>
          <a:graphic>
            <a:graphicData uri="http://schemas.openxmlformats.org/drawingml/2006/picture">
              <pic:pic>
                <pic:nvPicPr>
                  <pic:cNvPr id="162" name="Image 162"/>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13440">
              <wp:simplePos x="0" y="0"/>
              <wp:positionH relativeFrom="page">
                <wp:posOffset>6470269</wp:posOffset>
              </wp:positionH>
              <wp:positionV relativeFrom="page">
                <wp:posOffset>443314</wp:posOffset>
              </wp:positionV>
              <wp:extent cx="241300" cy="194310"/>
              <wp:effectExtent l="0" t="0" r="0" b="0"/>
              <wp:wrapNone/>
              <wp:docPr id="163" name="Textbox 163"/>
              <wp:cNvGraphicFramePr>
                <a:graphicFrameLocks/>
              </wp:cNvGraphicFramePr>
              <a:graphic>
                <a:graphicData uri="http://schemas.microsoft.com/office/word/2010/wordprocessingShape">
                  <wps:wsp>
                    <wps:cNvPr id="163" name="Textbox 163"/>
                    <wps:cNvSpPr txBox="1"/>
                    <wps:spPr>
                      <a:xfrm>
                        <a:off x="0" y="0"/>
                        <a:ext cx="2413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51</w:t>
                          </w:r>
                          <w:r>
                            <w:rPr>
                              <w:spacing w:val="-5"/>
                            </w:rPr>
                            <w:fldChar w:fldCharType="end"/>
                          </w:r>
                        </w:p>
                      </w:txbxContent>
                    </wps:txbx>
                    <wps:bodyPr wrap="square" lIns="0" tIns="0" rIns="0" bIns="0" rtlCol="0">
                      <a:noAutofit/>
                    </wps:bodyPr>
                  </wps:wsp>
                </a:graphicData>
              </a:graphic>
            </wp:anchor>
          </w:drawing>
        </mc:Choice>
        <mc:Fallback>
          <w:pict>
            <v:shape style="position:absolute;margin-left:509.470001pt;margin-top:34.906666pt;width:19pt;height:15.3pt;mso-position-horizontal-relative:page;mso-position-vertical-relative:page;z-index:-17303040" type="#_x0000_t202" id="docshape111"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51</w:t>
                    </w:r>
                    <w:r>
                      <w:rPr>
                        <w:spacing w:val="-5"/>
                      </w:rPr>
                      <w:fldChar w:fldCharType="end"/>
                    </w:r>
                  </w:p>
                </w:txbxContent>
              </v:textbox>
              <w10:wrap type="none"/>
            </v:shape>
          </w:pict>
        </mc:Fallback>
      </mc:AlternateContent>
    </w:r>
  </w:p>
</w:hdr>
</file>

<file path=word/header2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60384">
          <wp:simplePos x="0" y="0"/>
          <wp:positionH relativeFrom="page">
            <wp:posOffset>0</wp:posOffset>
          </wp:positionH>
          <wp:positionV relativeFrom="page">
            <wp:posOffset>0</wp:posOffset>
          </wp:positionV>
          <wp:extent cx="7559040" cy="858265"/>
          <wp:effectExtent l="0" t="0" r="0" b="0"/>
          <wp:wrapNone/>
          <wp:docPr id="167" name="Image 167"/>
          <wp:cNvGraphicFramePr>
            <a:graphicFrameLocks/>
          </wp:cNvGraphicFramePr>
          <a:graphic>
            <a:graphicData uri="http://schemas.openxmlformats.org/drawingml/2006/picture">
              <pic:pic>
                <pic:nvPicPr>
                  <pic:cNvPr id="167" name="Image 167"/>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14976">
              <wp:simplePos x="0" y="0"/>
              <wp:positionH relativeFrom="page">
                <wp:posOffset>6470269</wp:posOffset>
              </wp:positionH>
              <wp:positionV relativeFrom="page">
                <wp:posOffset>443314</wp:posOffset>
              </wp:positionV>
              <wp:extent cx="241300" cy="194310"/>
              <wp:effectExtent l="0" t="0" r="0" b="0"/>
              <wp:wrapNone/>
              <wp:docPr id="168" name="Textbox 168"/>
              <wp:cNvGraphicFramePr>
                <a:graphicFrameLocks/>
              </wp:cNvGraphicFramePr>
              <a:graphic>
                <a:graphicData uri="http://schemas.microsoft.com/office/word/2010/wordprocessingShape">
                  <wps:wsp>
                    <wps:cNvPr id="168" name="Textbox 168"/>
                    <wps:cNvSpPr txBox="1"/>
                    <wps:spPr>
                      <a:xfrm>
                        <a:off x="0" y="0"/>
                        <a:ext cx="2413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60</w:t>
                          </w:r>
                          <w:r>
                            <w:rPr>
                              <w:spacing w:val="-5"/>
                            </w:rPr>
                            <w:fldChar w:fldCharType="end"/>
                          </w:r>
                        </w:p>
                      </w:txbxContent>
                    </wps:txbx>
                    <wps:bodyPr wrap="square" lIns="0" tIns="0" rIns="0" bIns="0" rtlCol="0">
                      <a:noAutofit/>
                    </wps:bodyPr>
                  </wps:wsp>
                </a:graphicData>
              </a:graphic>
            </wp:anchor>
          </w:drawing>
        </mc:Choice>
        <mc:Fallback>
          <w:pict>
            <v:shape style="position:absolute;margin-left:509.470001pt;margin-top:34.906666pt;width:19pt;height:15.3pt;mso-position-horizontal-relative:page;mso-position-vertical-relative:page;z-index:-17301504" type="#_x0000_t202" id="docshape112"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60</w:t>
                    </w:r>
                    <w:r>
                      <w:rPr>
                        <w:spacing w:val="-5"/>
                      </w:rPr>
                      <w:fldChar w:fldCharType="end"/>
                    </w:r>
                  </w:p>
                </w:txbxContent>
              </v:textbox>
              <w10:wrap type="none"/>
            </v:shape>
          </w:pict>
        </mc:Fallback>
      </mc:AlternateContent>
    </w:r>
  </w:p>
</w:hdr>
</file>

<file path=word/header2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61920">
          <wp:simplePos x="0" y="0"/>
          <wp:positionH relativeFrom="page">
            <wp:posOffset>0</wp:posOffset>
          </wp:positionH>
          <wp:positionV relativeFrom="page">
            <wp:posOffset>0</wp:posOffset>
          </wp:positionV>
          <wp:extent cx="7559040" cy="858265"/>
          <wp:effectExtent l="0" t="0" r="0" b="0"/>
          <wp:wrapNone/>
          <wp:docPr id="170" name="Image 170"/>
          <wp:cNvGraphicFramePr>
            <a:graphicFrameLocks/>
          </wp:cNvGraphicFramePr>
          <a:graphic>
            <a:graphicData uri="http://schemas.openxmlformats.org/drawingml/2006/picture">
              <pic:pic>
                <pic:nvPicPr>
                  <pic:cNvPr id="170" name="Image 170"/>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6016512">
              <wp:simplePos x="0" y="0"/>
              <wp:positionH relativeFrom="page">
                <wp:posOffset>6470269</wp:posOffset>
              </wp:positionH>
              <wp:positionV relativeFrom="page">
                <wp:posOffset>443314</wp:posOffset>
              </wp:positionV>
              <wp:extent cx="241300" cy="194310"/>
              <wp:effectExtent l="0" t="0" r="0" b="0"/>
              <wp:wrapNone/>
              <wp:docPr id="171" name="Textbox 171"/>
              <wp:cNvGraphicFramePr>
                <a:graphicFrameLocks/>
              </wp:cNvGraphicFramePr>
              <a:graphic>
                <a:graphicData uri="http://schemas.microsoft.com/office/word/2010/wordprocessingShape">
                  <wps:wsp>
                    <wps:cNvPr id="171" name="Textbox 171"/>
                    <wps:cNvSpPr txBox="1"/>
                    <wps:spPr>
                      <a:xfrm>
                        <a:off x="0" y="0"/>
                        <a:ext cx="2413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65</w:t>
                          </w:r>
                          <w:r>
                            <w:rPr>
                              <w:spacing w:val="-5"/>
                            </w:rPr>
                            <w:fldChar w:fldCharType="end"/>
                          </w:r>
                        </w:p>
                      </w:txbxContent>
                    </wps:txbx>
                    <wps:bodyPr wrap="square" lIns="0" tIns="0" rIns="0" bIns="0" rtlCol="0">
                      <a:noAutofit/>
                    </wps:bodyPr>
                  </wps:wsp>
                </a:graphicData>
              </a:graphic>
            </wp:anchor>
          </w:drawing>
        </mc:Choice>
        <mc:Fallback>
          <w:pict>
            <v:shape style="position:absolute;margin-left:509.470001pt;margin-top:34.906666pt;width:19pt;height:15.3pt;mso-position-horizontal-relative:page;mso-position-vertical-relative:page;z-index:-17299968" type="#_x0000_t202" id="docshape113"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65</w:t>
                    </w:r>
                    <w:r>
                      <w:rPr>
                        <w:spacing w:val="-5"/>
                      </w:rPr>
                      <w:fldChar w:fldCharType="end"/>
                    </w:r>
                  </w:p>
                </w:txbxContent>
              </v:textbox>
              <w10:wrap type="none"/>
            </v:shape>
          </w:pict>
        </mc:Fallback>
      </mc:AlternateContent>
    </w:r>
  </w:p>
</w:hdr>
</file>

<file path=word/header2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2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2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18560">
          <wp:simplePos x="0" y="0"/>
          <wp:positionH relativeFrom="page">
            <wp:posOffset>0</wp:posOffset>
          </wp:positionH>
          <wp:positionV relativeFrom="page">
            <wp:posOffset>0</wp:posOffset>
          </wp:positionV>
          <wp:extent cx="7559040" cy="858265"/>
          <wp:effectExtent l="0" t="0" r="0" b="0"/>
          <wp:wrapNone/>
          <wp:docPr id="177" name="Image 177"/>
          <wp:cNvGraphicFramePr>
            <a:graphicFrameLocks/>
          </wp:cNvGraphicFramePr>
          <a:graphic>
            <a:graphicData uri="http://schemas.openxmlformats.org/drawingml/2006/picture">
              <pic:pic>
                <pic:nvPicPr>
                  <pic:cNvPr id="177" name="Image 177"/>
                  <pic:cNvPicPr/>
                </pic:nvPicPr>
                <pic:blipFill>
                  <a:blip r:embed="rId1" cstate="print"/>
                  <a:stretch>
                    <a:fillRect/>
                  </a:stretch>
                </pic:blipFill>
                <pic:spPr>
                  <a:xfrm>
                    <a:off x="0" y="0"/>
                    <a:ext cx="7559040" cy="858265"/>
                  </a:xfrm>
                  <a:prstGeom prst="rect">
                    <a:avLst/>
                  </a:prstGeom>
                </pic:spPr>
              </pic:pic>
            </a:graphicData>
          </a:graphic>
        </wp:anchor>
      </w:drawing>
    </w:r>
  </w:p>
</w:hdr>
</file>

<file path=word/header2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19584">
          <wp:simplePos x="0" y="0"/>
          <wp:positionH relativeFrom="page">
            <wp:posOffset>0</wp:posOffset>
          </wp:positionH>
          <wp:positionV relativeFrom="page">
            <wp:posOffset>0</wp:posOffset>
          </wp:positionV>
          <wp:extent cx="7559040" cy="858265"/>
          <wp:effectExtent l="0" t="0" r="0" b="0"/>
          <wp:wrapNone/>
          <wp:docPr id="181" name="Image 181"/>
          <wp:cNvGraphicFramePr>
            <a:graphicFrameLocks/>
          </wp:cNvGraphicFramePr>
          <a:graphic>
            <a:graphicData uri="http://schemas.openxmlformats.org/drawingml/2006/picture">
              <pic:pic>
                <pic:nvPicPr>
                  <pic:cNvPr id="181" name="Image 181"/>
                  <pic:cNvPicPr/>
                </pic:nvPicPr>
                <pic:blipFill>
                  <a:blip r:embed="rId1" cstate="print"/>
                  <a:stretch>
                    <a:fillRect/>
                  </a:stretch>
                </pic:blipFill>
                <pic:spPr>
                  <a:xfrm>
                    <a:off x="0" y="0"/>
                    <a:ext cx="7559040" cy="858265"/>
                  </a:xfrm>
                  <a:prstGeom prst="rect">
                    <a:avLst/>
                  </a:prstGeom>
                </pic:spPr>
              </pic:pic>
            </a:graphicData>
          </a:graphic>
        </wp:anchor>
      </w:drawing>
    </w:r>
  </w:p>
</w:hdr>
</file>

<file path=word/header2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20608">
          <wp:simplePos x="0" y="0"/>
          <wp:positionH relativeFrom="page">
            <wp:posOffset>0</wp:posOffset>
          </wp:positionH>
          <wp:positionV relativeFrom="page">
            <wp:posOffset>0</wp:posOffset>
          </wp:positionV>
          <wp:extent cx="7559040" cy="858265"/>
          <wp:effectExtent l="0" t="0" r="0" b="0"/>
          <wp:wrapNone/>
          <wp:docPr id="185" name="Image 185"/>
          <wp:cNvGraphicFramePr>
            <a:graphicFrameLocks/>
          </wp:cNvGraphicFramePr>
          <a:graphic>
            <a:graphicData uri="http://schemas.openxmlformats.org/drawingml/2006/picture">
              <pic:pic>
                <pic:nvPicPr>
                  <pic:cNvPr id="185" name="Image 185"/>
                  <pic:cNvPicPr/>
                </pic:nvPicPr>
                <pic:blipFill>
                  <a:blip r:embed="rId1" cstate="print"/>
                  <a:stretch>
                    <a:fillRect/>
                  </a:stretch>
                </pic:blipFill>
                <pic:spPr>
                  <a:xfrm>
                    <a:off x="0" y="0"/>
                    <a:ext cx="7559040" cy="858265"/>
                  </a:xfrm>
                  <a:prstGeom prst="rect">
                    <a:avLst/>
                  </a:prstGeom>
                </pic:spPr>
              </pic:pic>
            </a:graphicData>
          </a:graphic>
        </wp:anchor>
      </w:drawing>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33248">
          <wp:simplePos x="0" y="0"/>
          <wp:positionH relativeFrom="page">
            <wp:posOffset>0</wp:posOffset>
          </wp:positionH>
          <wp:positionV relativeFrom="page">
            <wp:posOffset>0</wp:posOffset>
          </wp:positionV>
          <wp:extent cx="7559040" cy="858265"/>
          <wp:effectExtent l="0" t="0" r="0" b="0"/>
          <wp:wrapNone/>
          <wp:docPr id="71" name="Image 71"/>
          <wp:cNvGraphicFramePr>
            <a:graphicFrameLocks/>
          </wp:cNvGraphicFramePr>
          <a:graphic>
            <a:graphicData uri="http://schemas.openxmlformats.org/drawingml/2006/picture">
              <pic:pic>
                <pic:nvPicPr>
                  <pic:cNvPr id="71" name="Image 71"/>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987840">
              <wp:simplePos x="0" y="0"/>
              <wp:positionH relativeFrom="page">
                <wp:posOffset>6546468</wp:posOffset>
              </wp:positionH>
              <wp:positionV relativeFrom="page">
                <wp:posOffset>443314</wp:posOffset>
              </wp:positionV>
              <wp:extent cx="165100" cy="194310"/>
              <wp:effectExtent l="0" t="0" r="0" b="0"/>
              <wp:wrapNone/>
              <wp:docPr id="72" name="Textbox 72"/>
              <wp:cNvGraphicFramePr>
                <a:graphicFrameLocks/>
              </wp:cNvGraphicFramePr>
              <a:graphic>
                <a:graphicData uri="http://schemas.microsoft.com/office/word/2010/wordprocessingShape">
                  <wps:wsp>
                    <wps:cNvPr id="72" name="Textbox 72"/>
                    <wps:cNvSpPr txBox="1"/>
                    <wps:spPr>
                      <a:xfrm>
                        <a:off x="0" y="0"/>
                        <a:ext cx="165100" cy="194310"/>
                      </a:xfrm>
                      <a:prstGeom prst="rect">
                        <a:avLst/>
                      </a:prstGeom>
                    </wps:spPr>
                    <wps:txbx>
                      <w:txbxContent>
                        <w:p>
                          <w:pPr>
                            <w:pStyle w:val="BodyText"/>
                            <w:spacing w:before="10"/>
                            <w:ind w:left="60"/>
                          </w:pPr>
                          <w:r>
                            <w:rPr>
                              <w:spacing w:val="-10"/>
                            </w:rPr>
                            <w:fldChar w:fldCharType="begin"/>
                          </w:r>
                          <w:r>
                            <w:rPr>
                              <w:spacing w:val="-10"/>
                            </w:rPr>
                            <w:instrText> PAGE  \* roman </w:instrText>
                          </w:r>
                          <w:r>
                            <w:rPr>
                              <w:spacing w:val="-10"/>
                            </w:rPr>
                            <w:fldChar w:fldCharType="separate"/>
                          </w:r>
                          <w:r>
                            <w:rPr>
                              <w:spacing w:val="-10"/>
                            </w:rPr>
                            <w:t>x</w:t>
                          </w:r>
                          <w:r>
                            <w:rPr>
                              <w:spacing w:val="-10"/>
                            </w:rPr>
                            <w:fldChar w:fldCharType="end"/>
                          </w:r>
                        </w:p>
                      </w:txbxContent>
                    </wps:txbx>
                    <wps:bodyPr wrap="square" lIns="0" tIns="0" rIns="0" bIns="0" rtlCol="0">
                      <a:noAutofit/>
                    </wps:bodyPr>
                  </wps:wsp>
                </a:graphicData>
              </a:graphic>
            </wp:anchor>
          </w:drawing>
        </mc:Choice>
        <mc:Fallback>
          <w:pict>
            <v:shape style="position:absolute;margin-left:515.469971pt;margin-top:34.906666pt;width:13pt;height:15.3pt;mso-position-horizontal-relative:page;mso-position-vertical-relative:page;z-index:-17328640" type="#_x0000_t202" id="docshape63" filled="false" stroked="false">
              <v:textbox inset="0,0,0,0">
                <w:txbxContent>
                  <w:p>
                    <w:pPr>
                      <w:pStyle w:val="BodyText"/>
                      <w:spacing w:before="10"/>
                      <w:ind w:left="60"/>
                    </w:pPr>
                    <w:r>
                      <w:rPr>
                        <w:spacing w:val="-10"/>
                      </w:rPr>
                      <w:fldChar w:fldCharType="begin"/>
                    </w:r>
                    <w:r>
                      <w:rPr>
                        <w:spacing w:val="-10"/>
                      </w:rPr>
                      <w:instrText> PAGE  \* roman </w:instrText>
                    </w:r>
                    <w:r>
                      <w:rPr>
                        <w:spacing w:val="-10"/>
                      </w:rPr>
                      <w:fldChar w:fldCharType="separate"/>
                    </w:r>
                    <w:r>
                      <w:rPr>
                        <w:spacing w:val="-10"/>
                      </w:rPr>
                      <w:t>x</w:t>
                    </w:r>
                    <w:r>
                      <w:rPr>
                        <w:spacing w:val="-10"/>
                      </w:rPr>
                      <w:fldChar w:fldCharType="end"/>
                    </w:r>
                  </w:p>
                </w:txbxContent>
              </v:textbox>
              <w10:wrap type="none"/>
            </v:shape>
          </w:pict>
        </mc:Fallback>
      </mc:AlternateContent>
    </w:r>
  </w:p>
</w:hdr>
</file>

<file path=word/header3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21632">
          <wp:simplePos x="0" y="0"/>
          <wp:positionH relativeFrom="page">
            <wp:posOffset>0</wp:posOffset>
          </wp:positionH>
          <wp:positionV relativeFrom="page">
            <wp:posOffset>0</wp:posOffset>
          </wp:positionV>
          <wp:extent cx="7559040" cy="858265"/>
          <wp:effectExtent l="0" t="0" r="0" b="0"/>
          <wp:wrapNone/>
          <wp:docPr id="189" name="Image 189"/>
          <wp:cNvGraphicFramePr>
            <a:graphicFrameLocks/>
          </wp:cNvGraphicFramePr>
          <a:graphic>
            <a:graphicData uri="http://schemas.openxmlformats.org/drawingml/2006/picture">
              <pic:pic>
                <pic:nvPicPr>
                  <pic:cNvPr id="189" name="Image 189"/>
                  <pic:cNvPicPr/>
                </pic:nvPicPr>
                <pic:blipFill>
                  <a:blip r:embed="rId1" cstate="print"/>
                  <a:stretch>
                    <a:fillRect/>
                  </a:stretch>
                </pic:blipFill>
                <pic:spPr>
                  <a:xfrm>
                    <a:off x="0" y="0"/>
                    <a:ext cx="7559040" cy="858265"/>
                  </a:xfrm>
                  <a:prstGeom prst="rect">
                    <a:avLst/>
                  </a:prstGeom>
                </pic:spPr>
              </pic:pic>
            </a:graphicData>
          </a:graphic>
        </wp:anchor>
      </w:drawing>
    </w:r>
  </w:p>
</w:hdr>
</file>

<file path=word/header3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6022656">
          <wp:simplePos x="0" y="0"/>
          <wp:positionH relativeFrom="page">
            <wp:posOffset>0</wp:posOffset>
          </wp:positionH>
          <wp:positionV relativeFrom="page">
            <wp:posOffset>0</wp:posOffset>
          </wp:positionV>
          <wp:extent cx="7559040" cy="858265"/>
          <wp:effectExtent l="0" t="0" r="0" b="0"/>
          <wp:wrapNone/>
          <wp:docPr id="192" name="Image 192"/>
          <wp:cNvGraphicFramePr>
            <a:graphicFrameLocks/>
          </wp:cNvGraphicFramePr>
          <a:graphic>
            <a:graphicData uri="http://schemas.openxmlformats.org/drawingml/2006/picture">
              <pic:pic>
                <pic:nvPicPr>
                  <pic:cNvPr id="192" name="Image 192"/>
                  <pic:cNvPicPr/>
                </pic:nvPicPr>
                <pic:blipFill>
                  <a:blip r:embed="rId1" cstate="print"/>
                  <a:stretch>
                    <a:fillRect/>
                  </a:stretch>
                </pic:blipFill>
                <pic:spPr>
                  <a:xfrm>
                    <a:off x="0" y="0"/>
                    <a:ext cx="7559040" cy="858265"/>
                  </a:xfrm>
                  <a:prstGeom prst="rect">
                    <a:avLst/>
                  </a:prstGeom>
                </pic:spPr>
              </pic:pic>
            </a:graphicData>
          </a:graphic>
        </wp:anchor>
      </w:drawing>
    </w:r>
  </w:p>
</w:hdr>
</file>

<file path=word/header3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3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3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34784">
          <wp:simplePos x="0" y="0"/>
          <wp:positionH relativeFrom="page">
            <wp:posOffset>0</wp:posOffset>
          </wp:positionH>
          <wp:positionV relativeFrom="page">
            <wp:posOffset>0</wp:posOffset>
          </wp:positionV>
          <wp:extent cx="7559040" cy="858265"/>
          <wp:effectExtent l="0" t="0" r="0" b="0"/>
          <wp:wrapNone/>
          <wp:docPr id="74" name="Image 74"/>
          <wp:cNvGraphicFramePr>
            <a:graphicFrameLocks/>
          </wp:cNvGraphicFramePr>
          <a:graphic>
            <a:graphicData uri="http://schemas.openxmlformats.org/drawingml/2006/picture">
              <pic:pic>
                <pic:nvPicPr>
                  <pic:cNvPr id="74" name="Image 74"/>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989376">
              <wp:simplePos x="0" y="0"/>
              <wp:positionH relativeFrom="page">
                <wp:posOffset>6486778</wp:posOffset>
              </wp:positionH>
              <wp:positionV relativeFrom="page">
                <wp:posOffset>443314</wp:posOffset>
              </wp:positionV>
              <wp:extent cx="224154" cy="194310"/>
              <wp:effectExtent l="0" t="0" r="0" b="0"/>
              <wp:wrapNone/>
              <wp:docPr id="75" name="Textbox 75"/>
              <wp:cNvGraphicFramePr>
                <a:graphicFrameLocks/>
              </wp:cNvGraphicFramePr>
              <a:graphic>
                <a:graphicData uri="http://schemas.microsoft.com/office/word/2010/wordprocessingShape">
                  <wps:wsp>
                    <wps:cNvPr id="75" name="Textbox 75"/>
                    <wps:cNvSpPr txBox="1"/>
                    <wps:spPr>
                      <a:xfrm>
                        <a:off x="0" y="0"/>
                        <a:ext cx="224154" cy="194310"/>
                      </a:xfrm>
                      <a:prstGeom prst="rect">
                        <a:avLst/>
                      </a:prstGeom>
                    </wps:spPr>
                    <wps:txbx>
                      <w:txbxContent>
                        <w:p>
                          <w:pPr>
                            <w:pStyle w:val="BodyText"/>
                            <w:spacing w:before="10"/>
                            <w:ind w:left="20"/>
                          </w:pPr>
                          <w:r>
                            <w:rPr>
                              <w:spacing w:val="-5"/>
                            </w:rPr>
                            <w:fldChar w:fldCharType="begin"/>
                          </w:r>
                          <w:r>
                            <w:rPr>
                              <w:spacing w:val="-5"/>
                            </w:rPr>
                            <w:instrText> PAGE  \* roman </w:instrText>
                          </w:r>
                          <w:r>
                            <w:rPr>
                              <w:spacing w:val="-5"/>
                            </w:rPr>
                            <w:fldChar w:fldCharType="separate"/>
                          </w:r>
                          <w:r>
                            <w:rPr>
                              <w:spacing w:val="-5"/>
                            </w:rPr>
                            <w:t>xii</w:t>
                          </w:r>
                          <w:r>
                            <w:rPr>
                              <w:spacing w:val="-5"/>
                            </w:rPr>
                            <w:fldChar w:fldCharType="end"/>
                          </w:r>
                        </w:p>
                      </w:txbxContent>
                    </wps:txbx>
                    <wps:bodyPr wrap="square" lIns="0" tIns="0" rIns="0" bIns="0" rtlCol="0">
                      <a:noAutofit/>
                    </wps:bodyPr>
                  </wps:wsp>
                </a:graphicData>
              </a:graphic>
            </wp:anchor>
          </w:drawing>
        </mc:Choice>
        <mc:Fallback>
          <w:pict>
            <v:shape style="position:absolute;margin-left:510.769989pt;margin-top:34.906666pt;width:17.650pt;height:15.3pt;mso-position-horizontal-relative:page;mso-position-vertical-relative:page;z-index:-17327104" type="#_x0000_t202" id="docshape64" filled="false" stroked="false">
              <v:textbox inset="0,0,0,0">
                <w:txbxContent>
                  <w:p>
                    <w:pPr>
                      <w:pStyle w:val="BodyText"/>
                      <w:spacing w:before="10"/>
                      <w:ind w:left="20"/>
                    </w:pPr>
                    <w:r>
                      <w:rPr>
                        <w:spacing w:val="-5"/>
                      </w:rPr>
                      <w:fldChar w:fldCharType="begin"/>
                    </w:r>
                    <w:r>
                      <w:rPr>
                        <w:spacing w:val="-5"/>
                      </w:rPr>
                      <w:instrText> PAGE  \* roman </w:instrText>
                    </w:r>
                    <w:r>
                      <w:rPr>
                        <w:spacing w:val="-5"/>
                      </w:rPr>
                      <w:fldChar w:fldCharType="separate"/>
                    </w:r>
                    <w:r>
                      <w:rPr>
                        <w:spacing w:val="-5"/>
                      </w:rPr>
                      <w:t>xii</w:t>
                    </w:r>
                    <w:r>
                      <w:rPr>
                        <w:spacing w:val="-5"/>
                      </w:rPr>
                      <w:fldChar w:fldCharType="end"/>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36320">
          <wp:simplePos x="0" y="0"/>
          <wp:positionH relativeFrom="page">
            <wp:posOffset>0</wp:posOffset>
          </wp:positionH>
          <wp:positionV relativeFrom="page">
            <wp:posOffset>0</wp:posOffset>
          </wp:positionV>
          <wp:extent cx="7559040" cy="858265"/>
          <wp:effectExtent l="0" t="0" r="0" b="0"/>
          <wp:wrapNone/>
          <wp:docPr id="77" name="Image 77"/>
          <wp:cNvGraphicFramePr>
            <a:graphicFrameLocks/>
          </wp:cNvGraphicFramePr>
          <a:graphic>
            <a:graphicData uri="http://schemas.openxmlformats.org/drawingml/2006/picture">
              <pic:pic>
                <pic:nvPicPr>
                  <pic:cNvPr id="77" name="Image 77"/>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990912">
              <wp:simplePos x="0" y="0"/>
              <wp:positionH relativeFrom="page">
                <wp:posOffset>6419596</wp:posOffset>
              </wp:positionH>
              <wp:positionV relativeFrom="page">
                <wp:posOffset>443314</wp:posOffset>
              </wp:positionV>
              <wp:extent cx="292100" cy="194310"/>
              <wp:effectExtent l="0" t="0" r="0" b="0"/>
              <wp:wrapNone/>
              <wp:docPr id="78" name="Textbox 78"/>
              <wp:cNvGraphicFramePr>
                <a:graphicFrameLocks/>
              </wp:cNvGraphicFramePr>
              <a:graphic>
                <a:graphicData uri="http://schemas.microsoft.com/office/word/2010/wordprocessingShape">
                  <wps:wsp>
                    <wps:cNvPr id="78" name="Textbox 78"/>
                    <wps:cNvSpPr txBox="1"/>
                    <wps:spPr>
                      <a:xfrm>
                        <a:off x="0" y="0"/>
                        <a:ext cx="292100" cy="194310"/>
                      </a:xfrm>
                      <a:prstGeom prst="rect">
                        <a:avLst/>
                      </a:prstGeom>
                    </wps:spPr>
                    <wps:txbx>
                      <w:txbxContent>
                        <w:p>
                          <w:pPr>
                            <w:pStyle w:val="BodyText"/>
                            <w:spacing w:before="10"/>
                            <w:ind w:left="60"/>
                          </w:pPr>
                          <w:r>
                            <w:rPr>
                              <w:spacing w:val="-4"/>
                            </w:rPr>
                            <w:fldChar w:fldCharType="begin"/>
                          </w:r>
                          <w:r>
                            <w:rPr>
                              <w:spacing w:val="-4"/>
                            </w:rPr>
                            <w:instrText> PAGE  \* roman </w:instrText>
                          </w:r>
                          <w:r>
                            <w:rPr>
                              <w:spacing w:val="-4"/>
                            </w:rPr>
                            <w:fldChar w:fldCharType="separate"/>
                          </w:r>
                          <w:r>
                            <w:rPr>
                              <w:spacing w:val="-4"/>
                            </w:rPr>
                            <w:t>xiii</w:t>
                          </w:r>
                          <w:r>
                            <w:rPr>
                              <w:spacing w:val="-4"/>
                            </w:rPr>
                            <w:fldChar w:fldCharType="end"/>
                          </w:r>
                        </w:p>
                      </w:txbxContent>
                    </wps:txbx>
                    <wps:bodyPr wrap="square" lIns="0" tIns="0" rIns="0" bIns="0" rtlCol="0">
                      <a:noAutofit/>
                    </wps:bodyPr>
                  </wps:wsp>
                </a:graphicData>
              </a:graphic>
            </wp:anchor>
          </w:drawing>
        </mc:Choice>
        <mc:Fallback>
          <w:pict>
            <v:shape style="position:absolute;margin-left:505.480011pt;margin-top:34.906666pt;width:23pt;height:15.3pt;mso-position-horizontal-relative:page;mso-position-vertical-relative:page;z-index:-17325568" type="#_x0000_t202" id="docshape65" filled="false" stroked="false">
              <v:textbox inset="0,0,0,0">
                <w:txbxContent>
                  <w:p>
                    <w:pPr>
                      <w:pStyle w:val="BodyText"/>
                      <w:spacing w:before="10"/>
                      <w:ind w:left="60"/>
                    </w:pPr>
                    <w:r>
                      <w:rPr>
                        <w:spacing w:val="-4"/>
                      </w:rPr>
                      <w:fldChar w:fldCharType="begin"/>
                    </w:r>
                    <w:r>
                      <w:rPr>
                        <w:spacing w:val="-4"/>
                      </w:rPr>
                      <w:instrText> PAGE  \* roman </w:instrText>
                    </w:r>
                    <w:r>
                      <w:rPr>
                        <w:spacing w:val="-4"/>
                      </w:rPr>
                      <w:fldChar w:fldCharType="separate"/>
                    </w:r>
                    <w:r>
                      <w:rPr>
                        <w:spacing w:val="-4"/>
                      </w:rPr>
                      <w:t>xiii</w:t>
                    </w:r>
                    <w:r>
                      <w:rPr>
                        <w:spacing w:val="-4"/>
                      </w:rPr>
                      <w:fldChar w:fldCharType="end"/>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38368">
          <wp:simplePos x="0" y="0"/>
          <wp:positionH relativeFrom="page">
            <wp:posOffset>0</wp:posOffset>
          </wp:positionH>
          <wp:positionV relativeFrom="page">
            <wp:posOffset>0</wp:posOffset>
          </wp:positionV>
          <wp:extent cx="7559040" cy="858265"/>
          <wp:effectExtent l="0" t="0" r="0" b="0"/>
          <wp:wrapNone/>
          <wp:docPr id="85" name="Image 85"/>
          <wp:cNvGraphicFramePr>
            <a:graphicFrameLocks/>
          </wp:cNvGraphicFramePr>
          <a:graphic>
            <a:graphicData uri="http://schemas.openxmlformats.org/drawingml/2006/picture">
              <pic:pic>
                <pic:nvPicPr>
                  <pic:cNvPr id="85" name="Image 85"/>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992960">
              <wp:simplePos x="0" y="0"/>
              <wp:positionH relativeFrom="page">
                <wp:posOffset>6546468</wp:posOffset>
              </wp:positionH>
              <wp:positionV relativeFrom="page">
                <wp:posOffset>443314</wp:posOffset>
              </wp:positionV>
              <wp:extent cx="165100" cy="194310"/>
              <wp:effectExtent l="0" t="0" r="0" b="0"/>
              <wp:wrapNone/>
              <wp:docPr id="86" name="Textbox 86"/>
              <wp:cNvGraphicFramePr>
                <a:graphicFrameLocks/>
              </wp:cNvGraphicFramePr>
              <a:graphic>
                <a:graphicData uri="http://schemas.microsoft.com/office/word/2010/wordprocessingShape">
                  <wps:wsp>
                    <wps:cNvPr id="86" name="Textbox 86"/>
                    <wps:cNvSpPr txBox="1"/>
                    <wps:spPr>
                      <a:xfrm>
                        <a:off x="0" y="0"/>
                        <a:ext cx="165100" cy="194310"/>
                      </a:xfrm>
                      <a:prstGeom prst="rect">
                        <a:avLst/>
                      </a:prstGeom>
                    </wps:spPr>
                    <wps:txbx>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2</w:t>
                          </w:r>
                          <w:r>
                            <w:rPr>
                              <w:spacing w:val="-10"/>
                            </w:rPr>
                            <w:fldChar w:fldCharType="end"/>
                          </w:r>
                        </w:p>
                      </w:txbxContent>
                    </wps:txbx>
                    <wps:bodyPr wrap="square" lIns="0" tIns="0" rIns="0" bIns="0" rtlCol="0">
                      <a:noAutofit/>
                    </wps:bodyPr>
                  </wps:wsp>
                </a:graphicData>
              </a:graphic>
            </wp:anchor>
          </w:drawing>
        </mc:Choice>
        <mc:Fallback>
          <w:pict>
            <v:shape style="position:absolute;margin-left:515.469971pt;margin-top:34.906666pt;width:13pt;height:15.3pt;mso-position-horizontal-relative:page;mso-position-vertical-relative:page;z-index:-17323520" type="#_x0000_t202" id="docshape69" filled="false" stroked="false">
              <v:textbox inset="0,0,0,0">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2</w:t>
                    </w:r>
                    <w:r>
                      <w:rPr>
                        <w:spacing w:val="-10"/>
                      </w:rPr>
                      <w:fldChar w:fldCharType="end"/>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0" simplePos="0" relativeHeight="15739904">
          <wp:simplePos x="0" y="0"/>
          <wp:positionH relativeFrom="page">
            <wp:posOffset>0</wp:posOffset>
          </wp:positionH>
          <wp:positionV relativeFrom="page">
            <wp:posOffset>0</wp:posOffset>
          </wp:positionV>
          <wp:extent cx="7559040" cy="858265"/>
          <wp:effectExtent l="0" t="0" r="0" b="0"/>
          <wp:wrapNone/>
          <wp:docPr id="88" name="Image 88"/>
          <wp:cNvGraphicFramePr>
            <a:graphicFrameLocks/>
          </wp:cNvGraphicFramePr>
          <a:graphic>
            <a:graphicData uri="http://schemas.openxmlformats.org/drawingml/2006/picture">
              <pic:pic>
                <pic:nvPicPr>
                  <pic:cNvPr id="88" name="Image 88"/>
                  <pic:cNvPicPr/>
                </pic:nvPicPr>
                <pic:blipFill>
                  <a:blip r:embed="rId1" cstate="print"/>
                  <a:stretch>
                    <a:fillRect/>
                  </a:stretch>
                </pic:blipFill>
                <pic:spPr>
                  <a:xfrm>
                    <a:off x="0" y="0"/>
                    <a:ext cx="7559040" cy="85826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5994496">
              <wp:simplePos x="0" y="0"/>
              <wp:positionH relativeFrom="page">
                <wp:posOffset>6546468</wp:posOffset>
              </wp:positionH>
              <wp:positionV relativeFrom="page">
                <wp:posOffset>443314</wp:posOffset>
              </wp:positionV>
              <wp:extent cx="165100" cy="194310"/>
              <wp:effectExtent l="0" t="0" r="0" b="0"/>
              <wp:wrapNone/>
              <wp:docPr id="89" name="Textbox 89"/>
              <wp:cNvGraphicFramePr>
                <a:graphicFrameLocks/>
              </wp:cNvGraphicFramePr>
              <a:graphic>
                <a:graphicData uri="http://schemas.microsoft.com/office/word/2010/wordprocessingShape">
                  <wps:wsp>
                    <wps:cNvPr id="89" name="Textbox 89"/>
                    <wps:cNvSpPr txBox="1"/>
                    <wps:spPr>
                      <a:xfrm>
                        <a:off x="0" y="0"/>
                        <a:ext cx="165100" cy="194310"/>
                      </a:xfrm>
                      <a:prstGeom prst="rect">
                        <a:avLst/>
                      </a:prstGeom>
                    </wps:spPr>
                    <wps:txbx>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6</w:t>
                          </w:r>
                          <w:r>
                            <w:rPr>
                              <w:spacing w:val="-10"/>
                            </w:rPr>
                            <w:fldChar w:fldCharType="end"/>
                          </w:r>
                        </w:p>
                      </w:txbxContent>
                    </wps:txbx>
                    <wps:bodyPr wrap="square" lIns="0" tIns="0" rIns="0" bIns="0" rtlCol="0">
                      <a:noAutofit/>
                    </wps:bodyPr>
                  </wps:wsp>
                </a:graphicData>
              </a:graphic>
            </wp:anchor>
          </w:drawing>
        </mc:Choice>
        <mc:Fallback>
          <w:pict>
            <v:shape style="position:absolute;margin-left:515.469971pt;margin-top:34.906666pt;width:13pt;height:15.3pt;mso-position-horizontal-relative:page;mso-position-vertical-relative:page;z-index:-17321984" type="#_x0000_t202" id="docshape70" filled="false" stroked="false">
              <v:textbox inset="0,0,0,0">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6</w:t>
                    </w:r>
                    <w:r>
                      <w:rPr>
                        <w:spacing w:val="-10"/>
                      </w:rPr>
                      <w:fldChar w:fldCharType="end"/>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5995520">
              <wp:simplePos x="0" y="0"/>
              <wp:positionH relativeFrom="page">
                <wp:posOffset>3263265</wp:posOffset>
              </wp:positionH>
              <wp:positionV relativeFrom="page">
                <wp:posOffset>895660</wp:posOffset>
              </wp:positionV>
              <wp:extent cx="1216660" cy="222885"/>
              <wp:effectExtent l="0" t="0" r="0" b="0"/>
              <wp:wrapNone/>
              <wp:docPr id="91" name="Textbox 91"/>
              <wp:cNvGraphicFramePr>
                <a:graphicFrameLocks/>
              </wp:cNvGraphicFramePr>
              <a:graphic>
                <a:graphicData uri="http://schemas.microsoft.com/office/word/2010/wordprocessingShape">
                  <wps:wsp>
                    <wps:cNvPr id="91" name="Textbox 91"/>
                    <wps:cNvSpPr txBox="1"/>
                    <wps:spPr>
                      <a:xfrm>
                        <a:off x="0" y="0"/>
                        <a:ext cx="1216660" cy="222885"/>
                      </a:xfrm>
                      <a:prstGeom prst="rect">
                        <a:avLst/>
                      </a:prstGeom>
                    </wps:spPr>
                    <wps:txbx>
                      <w:txbxContent>
                        <w:p>
                          <w:pPr>
                            <w:spacing w:before="8"/>
                            <w:ind w:left="20" w:right="0" w:firstLine="0"/>
                            <w:jc w:val="left"/>
                            <w:rPr>
                              <w:b/>
                              <w:sz w:val="28"/>
                            </w:rPr>
                          </w:pPr>
                          <w:r>
                            <w:rPr>
                              <w:b/>
                              <w:sz w:val="28"/>
                            </w:rPr>
                            <w:t>CAPÍTULO </w:t>
                          </w:r>
                          <w:r>
                            <w:rPr>
                              <w:b/>
                              <w:spacing w:val="-5"/>
                              <w:sz w:val="28"/>
                            </w:rPr>
                            <w:fldChar w:fldCharType="begin"/>
                          </w:r>
                          <w:r>
                            <w:rPr>
                              <w:b/>
                              <w:spacing w:val="-5"/>
                              <w:sz w:val="28"/>
                            </w:rPr>
                            <w:instrText> PAGE  \* ROMAN </w:instrText>
                          </w:r>
                          <w:r>
                            <w:rPr>
                              <w:b/>
                              <w:spacing w:val="-5"/>
                              <w:sz w:val="28"/>
                            </w:rPr>
                            <w:fldChar w:fldCharType="separate"/>
                          </w:r>
                          <w:r>
                            <w:rPr>
                              <w:b/>
                              <w:spacing w:val="-5"/>
                              <w:sz w:val="28"/>
                            </w:rPr>
                            <w:t>III</w:t>
                          </w:r>
                          <w:r>
                            <w:rPr>
                              <w:b/>
                              <w:spacing w:val="-5"/>
                              <w:sz w:val="28"/>
                            </w:rPr>
                            <w:fldChar w:fldCharType="end"/>
                          </w:r>
                        </w:p>
                      </w:txbxContent>
                    </wps:txbx>
                    <wps:bodyPr wrap="square" lIns="0" tIns="0" rIns="0" bIns="0" rtlCol="0">
                      <a:noAutofit/>
                    </wps:bodyPr>
                  </wps:wsp>
                </a:graphicData>
              </a:graphic>
            </wp:anchor>
          </w:drawing>
        </mc:Choice>
        <mc:Fallback>
          <w:pict>
            <v:shape style="position:absolute;margin-left:256.950012pt;margin-top:70.524437pt;width:95.8pt;height:17.55pt;mso-position-horizontal-relative:page;mso-position-vertical-relative:page;z-index:-17320960" type="#_x0000_t202" id="docshape71" filled="false" stroked="false">
              <v:textbox inset="0,0,0,0">
                <w:txbxContent>
                  <w:p>
                    <w:pPr>
                      <w:spacing w:before="8"/>
                      <w:ind w:left="20" w:right="0" w:firstLine="0"/>
                      <w:jc w:val="left"/>
                      <w:rPr>
                        <w:b/>
                        <w:sz w:val="28"/>
                      </w:rPr>
                    </w:pPr>
                    <w:r>
                      <w:rPr>
                        <w:b/>
                        <w:sz w:val="28"/>
                      </w:rPr>
                      <w:t>CAPÍTULO </w:t>
                    </w:r>
                    <w:r>
                      <w:rPr>
                        <w:b/>
                        <w:spacing w:val="-5"/>
                        <w:sz w:val="28"/>
                      </w:rPr>
                      <w:fldChar w:fldCharType="begin"/>
                    </w:r>
                    <w:r>
                      <w:rPr>
                        <w:b/>
                        <w:spacing w:val="-5"/>
                        <w:sz w:val="28"/>
                      </w:rPr>
                      <w:instrText> PAGE  \* ROMAN </w:instrText>
                    </w:r>
                    <w:r>
                      <w:rPr>
                        <w:b/>
                        <w:spacing w:val="-5"/>
                        <w:sz w:val="28"/>
                      </w:rPr>
                      <w:fldChar w:fldCharType="separate"/>
                    </w:r>
                    <w:r>
                      <w:rPr>
                        <w:b/>
                        <w:spacing w:val="-5"/>
                        <w:sz w:val="28"/>
                      </w:rPr>
                      <w:t>III</w:t>
                    </w:r>
                    <w:r>
                      <w:rPr>
                        <w:b/>
                        <w:spacing w:val="-5"/>
                        <w:sz w:val="28"/>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6">
    <w:multiLevelType w:val="hybridMultilevel"/>
    <w:lvl w:ilvl="0">
      <w:start w:val="1"/>
      <w:numFmt w:val="lowerLetter"/>
      <w:lvlText w:val="%1."/>
      <w:lvlJc w:val="left"/>
      <w:pPr>
        <w:ind w:left="976" w:hanging="266"/>
        <w:jc w:val="left"/>
      </w:pPr>
      <w:rPr>
        <w:rFonts w:hint="default" w:ascii="Arial MT" w:hAnsi="Arial MT" w:eastAsia="Arial MT" w:cs="Arial MT"/>
        <w:b w:val="0"/>
        <w:bCs w:val="0"/>
        <w:i w:val="0"/>
        <w:iCs w:val="0"/>
        <w:spacing w:val="0"/>
        <w:w w:val="100"/>
        <w:sz w:val="24"/>
        <w:szCs w:val="24"/>
        <w:lang w:val="es-ES" w:eastAsia="en-US" w:bidi="ar-SA"/>
      </w:rPr>
    </w:lvl>
    <w:lvl w:ilvl="1">
      <w:start w:val="0"/>
      <w:numFmt w:val="bullet"/>
      <w:lvlText w:val="•"/>
      <w:lvlJc w:val="left"/>
      <w:pPr>
        <w:ind w:left="1775" w:hanging="266"/>
      </w:pPr>
      <w:rPr>
        <w:rFonts w:hint="default"/>
        <w:lang w:val="es-ES" w:eastAsia="en-US" w:bidi="ar-SA"/>
      </w:rPr>
    </w:lvl>
    <w:lvl w:ilvl="2">
      <w:start w:val="0"/>
      <w:numFmt w:val="bullet"/>
      <w:lvlText w:val="•"/>
      <w:lvlJc w:val="left"/>
      <w:pPr>
        <w:ind w:left="2570" w:hanging="266"/>
      </w:pPr>
      <w:rPr>
        <w:rFonts w:hint="default"/>
        <w:lang w:val="es-ES" w:eastAsia="en-US" w:bidi="ar-SA"/>
      </w:rPr>
    </w:lvl>
    <w:lvl w:ilvl="3">
      <w:start w:val="0"/>
      <w:numFmt w:val="bullet"/>
      <w:lvlText w:val="•"/>
      <w:lvlJc w:val="left"/>
      <w:pPr>
        <w:ind w:left="3365" w:hanging="266"/>
      </w:pPr>
      <w:rPr>
        <w:rFonts w:hint="default"/>
        <w:lang w:val="es-ES" w:eastAsia="en-US" w:bidi="ar-SA"/>
      </w:rPr>
    </w:lvl>
    <w:lvl w:ilvl="4">
      <w:start w:val="0"/>
      <w:numFmt w:val="bullet"/>
      <w:lvlText w:val="•"/>
      <w:lvlJc w:val="left"/>
      <w:pPr>
        <w:ind w:left="4160" w:hanging="266"/>
      </w:pPr>
      <w:rPr>
        <w:rFonts w:hint="default"/>
        <w:lang w:val="es-ES" w:eastAsia="en-US" w:bidi="ar-SA"/>
      </w:rPr>
    </w:lvl>
    <w:lvl w:ilvl="5">
      <w:start w:val="0"/>
      <w:numFmt w:val="bullet"/>
      <w:lvlText w:val="•"/>
      <w:lvlJc w:val="left"/>
      <w:pPr>
        <w:ind w:left="4955" w:hanging="266"/>
      </w:pPr>
      <w:rPr>
        <w:rFonts w:hint="default"/>
        <w:lang w:val="es-ES" w:eastAsia="en-US" w:bidi="ar-SA"/>
      </w:rPr>
    </w:lvl>
    <w:lvl w:ilvl="6">
      <w:start w:val="0"/>
      <w:numFmt w:val="bullet"/>
      <w:lvlText w:val="•"/>
      <w:lvlJc w:val="left"/>
      <w:pPr>
        <w:ind w:left="5750" w:hanging="266"/>
      </w:pPr>
      <w:rPr>
        <w:rFonts w:hint="default"/>
        <w:lang w:val="es-ES" w:eastAsia="en-US" w:bidi="ar-SA"/>
      </w:rPr>
    </w:lvl>
    <w:lvl w:ilvl="7">
      <w:start w:val="0"/>
      <w:numFmt w:val="bullet"/>
      <w:lvlText w:val="•"/>
      <w:lvlJc w:val="left"/>
      <w:pPr>
        <w:ind w:left="6545" w:hanging="266"/>
      </w:pPr>
      <w:rPr>
        <w:rFonts w:hint="default"/>
        <w:lang w:val="es-ES" w:eastAsia="en-US" w:bidi="ar-SA"/>
      </w:rPr>
    </w:lvl>
    <w:lvl w:ilvl="8">
      <w:start w:val="0"/>
      <w:numFmt w:val="bullet"/>
      <w:lvlText w:val="•"/>
      <w:lvlJc w:val="left"/>
      <w:pPr>
        <w:ind w:left="7340" w:hanging="266"/>
      </w:pPr>
      <w:rPr>
        <w:rFonts w:hint="default"/>
        <w:lang w:val="es-ES" w:eastAsia="en-US" w:bidi="ar-SA"/>
      </w:rPr>
    </w:lvl>
  </w:abstractNum>
  <w:abstractNum w:abstractNumId="25">
    <w:multiLevelType w:val="hybridMultilevel"/>
    <w:lvl w:ilvl="0">
      <w:start w:val="1"/>
      <w:numFmt w:val="upperRoman"/>
      <w:lvlText w:val="%1."/>
      <w:lvlJc w:val="left"/>
      <w:pPr>
        <w:ind w:left="722" w:hanging="720"/>
        <w:jc w:val="left"/>
      </w:pPr>
      <w:rPr>
        <w:rFonts w:hint="default"/>
        <w:spacing w:val="0"/>
        <w:w w:val="100"/>
        <w:lang w:val="es-ES" w:eastAsia="en-US" w:bidi="ar-SA"/>
      </w:rPr>
    </w:lvl>
    <w:lvl w:ilvl="1">
      <w:start w:val="0"/>
      <w:numFmt w:val="bullet"/>
      <w:lvlText w:val=""/>
      <w:lvlJc w:val="left"/>
      <w:pPr>
        <w:ind w:left="1082" w:hanging="361"/>
      </w:pPr>
      <w:rPr>
        <w:rFonts w:hint="default" w:ascii="Symbol" w:hAnsi="Symbol" w:eastAsia="Symbol" w:cs="Symbol"/>
        <w:b w:val="0"/>
        <w:bCs w:val="0"/>
        <w:i w:val="0"/>
        <w:iCs w:val="0"/>
        <w:spacing w:val="0"/>
        <w:w w:val="100"/>
        <w:sz w:val="20"/>
        <w:szCs w:val="20"/>
        <w:lang w:val="es-ES" w:eastAsia="en-US" w:bidi="ar-SA"/>
      </w:rPr>
    </w:lvl>
    <w:lvl w:ilvl="2">
      <w:start w:val="0"/>
      <w:numFmt w:val="bullet"/>
      <w:lvlText w:val="•"/>
      <w:lvlJc w:val="left"/>
      <w:pPr>
        <w:ind w:left="1952" w:hanging="361"/>
      </w:pPr>
      <w:rPr>
        <w:rFonts w:hint="default"/>
        <w:lang w:val="es-ES" w:eastAsia="en-US" w:bidi="ar-SA"/>
      </w:rPr>
    </w:lvl>
    <w:lvl w:ilvl="3">
      <w:start w:val="0"/>
      <w:numFmt w:val="bullet"/>
      <w:lvlText w:val="•"/>
      <w:lvlJc w:val="left"/>
      <w:pPr>
        <w:ind w:left="2824" w:hanging="361"/>
      </w:pPr>
      <w:rPr>
        <w:rFonts w:hint="default"/>
        <w:lang w:val="es-ES" w:eastAsia="en-US" w:bidi="ar-SA"/>
      </w:rPr>
    </w:lvl>
    <w:lvl w:ilvl="4">
      <w:start w:val="0"/>
      <w:numFmt w:val="bullet"/>
      <w:lvlText w:val="•"/>
      <w:lvlJc w:val="left"/>
      <w:pPr>
        <w:ind w:left="3697" w:hanging="361"/>
      </w:pPr>
      <w:rPr>
        <w:rFonts w:hint="default"/>
        <w:lang w:val="es-ES" w:eastAsia="en-US" w:bidi="ar-SA"/>
      </w:rPr>
    </w:lvl>
    <w:lvl w:ilvl="5">
      <w:start w:val="0"/>
      <w:numFmt w:val="bullet"/>
      <w:lvlText w:val="•"/>
      <w:lvlJc w:val="left"/>
      <w:pPr>
        <w:ind w:left="4569" w:hanging="361"/>
      </w:pPr>
      <w:rPr>
        <w:rFonts w:hint="default"/>
        <w:lang w:val="es-ES" w:eastAsia="en-US" w:bidi="ar-SA"/>
      </w:rPr>
    </w:lvl>
    <w:lvl w:ilvl="6">
      <w:start w:val="0"/>
      <w:numFmt w:val="bullet"/>
      <w:lvlText w:val="•"/>
      <w:lvlJc w:val="left"/>
      <w:pPr>
        <w:ind w:left="5441" w:hanging="361"/>
      </w:pPr>
      <w:rPr>
        <w:rFonts w:hint="default"/>
        <w:lang w:val="es-ES" w:eastAsia="en-US" w:bidi="ar-SA"/>
      </w:rPr>
    </w:lvl>
    <w:lvl w:ilvl="7">
      <w:start w:val="0"/>
      <w:numFmt w:val="bullet"/>
      <w:lvlText w:val="•"/>
      <w:lvlJc w:val="left"/>
      <w:pPr>
        <w:ind w:left="6314" w:hanging="361"/>
      </w:pPr>
      <w:rPr>
        <w:rFonts w:hint="default"/>
        <w:lang w:val="es-ES" w:eastAsia="en-US" w:bidi="ar-SA"/>
      </w:rPr>
    </w:lvl>
    <w:lvl w:ilvl="8">
      <w:start w:val="0"/>
      <w:numFmt w:val="bullet"/>
      <w:lvlText w:val="•"/>
      <w:lvlJc w:val="left"/>
      <w:pPr>
        <w:ind w:left="7186" w:hanging="361"/>
      </w:pPr>
      <w:rPr>
        <w:rFonts w:hint="default"/>
        <w:lang w:val="es-ES" w:eastAsia="en-US" w:bidi="ar-SA"/>
      </w:rPr>
    </w:lvl>
  </w:abstractNum>
  <w:abstractNum w:abstractNumId="24">
    <w:multiLevelType w:val="hybridMultilevel"/>
    <w:lvl w:ilvl="0">
      <w:start w:val="1"/>
      <w:numFmt w:val="lowerLetter"/>
      <w:lvlText w:val="%1."/>
      <w:lvlJc w:val="left"/>
      <w:pPr>
        <w:ind w:left="466" w:hanging="410"/>
        <w:jc w:val="left"/>
      </w:pPr>
      <w:rPr>
        <w:rFonts w:hint="default" w:ascii="Arial MT" w:hAnsi="Arial MT" w:eastAsia="Arial MT" w:cs="Arial MT"/>
        <w:b w:val="0"/>
        <w:bCs w:val="0"/>
        <w:i w:val="0"/>
        <w:iCs w:val="0"/>
        <w:spacing w:val="-1"/>
        <w:w w:val="100"/>
        <w:sz w:val="18"/>
        <w:szCs w:val="18"/>
        <w:lang w:val="es-ES" w:eastAsia="en-US" w:bidi="ar-SA"/>
      </w:rPr>
    </w:lvl>
    <w:lvl w:ilvl="1">
      <w:start w:val="0"/>
      <w:numFmt w:val="bullet"/>
      <w:lvlText w:val="•"/>
      <w:lvlJc w:val="left"/>
      <w:pPr>
        <w:ind w:left="767" w:hanging="410"/>
      </w:pPr>
      <w:rPr>
        <w:rFonts w:hint="default"/>
        <w:lang w:val="es-ES" w:eastAsia="en-US" w:bidi="ar-SA"/>
      </w:rPr>
    </w:lvl>
    <w:lvl w:ilvl="2">
      <w:start w:val="0"/>
      <w:numFmt w:val="bullet"/>
      <w:lvlText w:val="•"/>
      <w:lvlJc w:val="left"/>
      <w:pPr>
        <w:ind w:left="1075" w:hanging="410"/>
      </w:pPr>
      <w:rPr>
        <w:rFonts w:hint="default"/>
        <w:lang w:val="es-ES" w:eastAsia="en-US" w:bidi="ar-SA"/>
      </w:rPr>
    </w:lvl>
    <w:lvl w:ilvl="3">
      <w:start w:val="0"/>
      <w:numFmt w:val="bullet"/>
      <w:lvlText w:val="•"/>
      <w:lvlJc w:val="left"/>
      <w:pPr>
        <w:ind w:left="1382" w:hanging="410"/>
      </w:pPr>
      <w:rPr>
        <w:rFonts w:hint="default"/>
        <w:lang w:val="es-ES" w:eastAsia="en-US" w:bidi="ar-SA"/>
      </w:rPr>
    </w:lvl>
    <w:lvl w:ilvl="4">
      <w:start w:val="0"/>
      <w:numFmt w:val="bullet"/>
      <w:lvlText w:val="•"/>
      <w:lvlJc w:val="left"/>
      <w:pPr>
        <w:ind w:left="1690" w:hanging="410"/>
      </w:pPr>
      <w:rPr>
        <w:rFonts w:hint="default"/>
        <w:lang w:val="es-ES" w:eastAsia="en-US" w:bidi="ar-SA"/>
      </w:rPr>
    </w:lvl>
    <w:lvl w:ilvl="5">
      <w:start w:val="0"/>
      <w:numFmt w:val="bullet"/>
      <w:lvlText w:val="•"/>
      <w:lvlJc w:val="left"/>
      <w:pPr>
        <w:ind w:left="1997" w:hanging="410"/>
      </w:pPr>
      <w:rPr>
        <w:rFonts w:hint="default"/>
        <w:lang w:val="es-ES" w:eastAsia="en-US" w:bidi="ar-SA"/>
      </w:rPr>
    </w:lvl>
    <w:lvl w:ilvl="6">
      <w:start w:val="0"/>
      <w:numFmt w:val="bullet"/>
      <w:lvlText w:val="•"/>
      <w:lvlJc w:val="left"/>
      <w:pPr>
        <w:ind w:left="2305" w:hanging="410"/>
      </w:pPr>
      <w:rPr>
        <w:rFonts w:hint="default"/>
        <w:lang w:val="es-ES" w:eastAsia="en-US" w:bidi="ar-SA"/>
      </w:rPr>
    </w:lvl>
    <w:lvl w:ilvl="7">
      <w:start w:val="0"/>
      <w:numFmt w:val="bullet"/>
      <w:lvlText w:val="•"/>
      <w:lvlJc w:val="left"/>
      <w:pPr>
        <w:ind w:left="2612" w:hanging="410"/>
      </w:pPr>
      <w:rPr>
        <w:rFonts w:hint="default"/>
        <w:lang w:val="es-ES" w:eastAsia="en-US" w:bidi="ar-SA"/>
      </w:rPr>
    </w:lvl>
    <w:lvl w:ilvl="8">
      <w:start w:val="0"/>
      <w:numFmt w:val="bullet"/>
      <w:lvlText w:val="•"/>
      <w:lvlJc w:val="left"/>
      <w:pPr>
        <w:ind w:left="2920" w:hanging="410"/>
      </w:pPr>
      <w:rPr>
        <w:rFonts w:hint="default"/>
        <w:lang w:val="es-ES" w:eastAsia="en-US" w:bidi="ar-SA"/>
      </w:rPr>
    </w:lvl>
  </w:abstractNum>
  <w:abstractNum w:abstractNumId="23">
    <w:multiLevelType w:val="hybridMultilevel"/>
    <w:lvl w:ilvl="0">
      <w:start w:val="1"/>
      <w:numFmt w:val="lowerLetter"/>
      <w:lvlText w:val="%1."/>
      <w:lvlJc w:val="left"/>
      <w:pPr>
        <w:ind w:left="466" w:hanging="410"/>
        <w:jc w:val="left"/>
      </w:pPr>
      <w:rPr>
        <w:rFonts w:hint="default" w:ascii="Arial MT" w:hAnsi="Arial MT" w:eastAsia="Arial MT" w:cs="Arial MT"/>
        <w:b w:val="0"/>
        <w:bCs w:val="0"/>
        <w:i w:val="0"/>
        <w:iCs w:val="0"/>
        <w:spacing w:val="-1"/>
        <w:w w:val="100"/>
        <w:sz w:val="18"/>
        <w:szCs w:val="18"/>
        <w:lang w:val="es-ES" w:eastAsia="en-US" w:bidi="ar-SA"/>
      </w:rPr>
    </w:lvl>
    <w:lvl w:ilvl="1">
      <w:start w:val="0"/>
      <w:numFmt w:val="bullet"/>
      <w:lvlText w:val="•"/>
      <w:lvlJc w:val="left"/>
      <w:pPr>
        <w:ind w:left="753" w:hanging="410"/>
      </w:pPr>
      <w:rPr>
        <w:rFonts w:hint="default"/>
        <w:lang w:val="es-ES" w:eastAsia="en-US" w:bidi="ar-SA"/>
      </w:rPr>
    </w:lvl>
    <w:lvl w:ilvl="2">
      <w:start w:val="0"/>
      <w:numFmt w:val="bullet"/>
      <w:lvlText w:val="•"/>
      <w:lvlJc w:val="left"/>
      <w:pPr>
        <w:ind w:left="1046" w:hanging="410"/>
      </w:pPr>
      <w:rPr>
        <w:rFonts w:hint="default"/>
        <w:lang w:val="es-ES" w:eastAsia="en-US" w:bidi="ar-SA"/>
      </w:rPr>
    </w:lvl>
    <w:lvl w:ilvl="3">
      <w:start w:val="0"/>
      <w:numFmt w:val="bullet"/>
      <w:lvlText w:val="•"/>
      <w:lvlJc w:val="left"/>
      <w:pPr>
        <w:ind w:left="1339" w:hanging="410"/>
      </w:pPr>
      <w:rPr>
        <w:rFonts w:hint="default"/>
        <w:lang w:val="es-ES" w:eastAsia="en-US" w:bidi="ar-SA"/>
      </w:rPr>
    </w:lvl>
    <w:lvl w:ilvl="4">
      <w:start w:val="0"/>
      <w:numFmt w:val="bullet"/>
      <w:lvlText w:val="•"/>
      <w:lvlJc w:val="left"/>
      <w:pPr>
        <w:ind w:left="1633" w:hanging="410"/>
      </w:pPr>
      <w:rPr>
        <w:rFonts w:hint="default"/>
        <w:lang w:val="es-ES" w:eastAsia="en-US" w:bidi="ar-SA"/>
      </w:rPr>
    </w:lvl>
    <w:lvl w:ilvl="5">
      <w:start w:val="0"/>
      <w:numFmt w:val="bullet"/>
      <w:lvlText w:val="•"/>
      <w:lvlJc w:val="left"/>
      <w:pPr>
        <w:ind w:left="1926" w:hanging="410"/>
      </w:pPr>
      <w:rPr>
        <w:rFonts w:hint="default"/>
        <w:lang w:val="es-ES" w:eastAsia="en-US" w:bidi="ar-SA"/>
      </w:rPr>
    </w:lvl>
    <w:lvl w:ilvl="6">
      <w:start w:val="0"/>
      <w:numFmt w:val="bullet"/>
      <w:lvlText w:val="•"/>
      <w:lvlJc w:val="left"/>
      <w:pPr>
        <w:ind w:left="2219" w:hanging="410"/>
      </w:pPr>
      <w:rPr>
        <w:rFonts w:hint="default"/>
        <w:lang w:val="es-ES" w:eastAsia="en-US" w:bidi="ar-SA"/>
      </w:rPr>
    </w:lvl>
    <w:lvl w:ilvl="7">
      <w:start w:val="0"/>
      <w:numFmt w:val="bullet"/>
      <w:lvlText w:val="•"/>
      <w:lvlJc w:val="left"/>
      <w:pPr>
        <w:ind w:left="2513" w:hanging="410"/>
      </w:pPr>
      <w:rPr>
        <w:rFonts w:hint="default"/>
        <w:lang w:val="es-ES" w:eastAsia="en-US" w:bidi="ar-SA"/>
      </w:rPr>
    </w:lvl>
    <w:lvl w:ilvl="8">
      <w:start w:val="0"/>
      <w:numFmt w:val="bullet"/>
      <w:lvlText w:val="•"/>
      <w:lvlJc w:val="left"/>
      <w:pPr>
        <w:ind w:left="2806" w:hanging="410"/>
      </w:pPr>
      <w:rPr>
        <w:rFonts w:hint="default"/>
        <w:lang w:val="es-ES" w:eastAsia="en-US" w:bidi="ar-SA"/>
      </w:rPr>
    </w:lvl>
  </w:abstractNum>
  <w:abstractNum w:abstractNumId="22">
    <w:multiLevelType w:val="hybridMultilevel"/>
    <w:lvl w:ilvl="0">
      <w:start w:val="1"/>
      <w:numFmt w:val="lowerLetter"/>
      <w:lvlText w:val="%1."/>
      <w:lvlJc w:val="left"/>
      <w:pPr>
        <w:ind w:left="827" w:hanging="410"/>
        <w:jc w:val="left"/>
      </w:pPr>
      <w:rPr>
        <w:rFonts w:hint="default" w:ascii="Arial MT" w:hAnsi="Arial MT" w:eastAsia="Arial MT" w:cs="Arial MT"/>
        <w:b w:val="0"/>
        <w:bCs w:val="0"/>
        <w:i w:val="0"/>
        <w:iCs w:val="0"/>
        <w:spacing w:val="-1"/>
        <w:w w:val="100"/>
        <w:sz w:val="18"/>
        <w:szCs w:val="18"/>
        <w:lang w:val="es-ES" w:eastAsia="en-US" w:bidi="ar-SA"/>
      </w:rPr>
    </w:lvl>
    <w:lvl w:ilvl="1">
      <w:start w:val="0"/>
      <w:numFmt w:val="bullet"/>
      <w:lvlText w:val="•"/>
      <w:lvlJc w:val="left"/>
      <w:pPr>
        <w:ind w:left="1078" w:hanging="410"/>
      </w:pPr>
      <w:rPr>
        <w:rFonts w:hint="default"/>
        <w:lang w:val="es-ES" w:eastAsia="en-US" w:bidi="ar-SA"/>
      </w:rPr>
    </w:lvl>
    <w:lvl w:ilvl="2">
      <w:start w:val="0"/>
      <w:numFmt w:val="bullet"/>
      <w:lvlText w:val="•"/>
      <w:lvlJc w:val="left"/>
      <w:pPr>
        <w:ind w:left="1336" w:hanging="410"/>
      </w:pPr>
      <w:rPr>
        <w:rFonts w:hint="default"/>
        <w:lang w:val="es-ES" w:eastAsia="en-US" w:bidi="ar-SA"/>
      </w:rPr>
    </w:lvl>
    <w:lvl w:ilvl="3">
      <w:start w:val="0"/>
      <w:numFmt w:val="bullet"/>
      <w:lvlText w:val="•"/>
      <w:lvlJc w:val="left"/>
      <w:pPr>
        <w:ind w:left="1594" w:hanging="410"/>
      </w:pPr>
      <w:rPr>
        <w:rFonts w:hint="default"/>
        <w:lang w:val="es-ES" w:eastAsia="en-US" w:bidi="ar-SA"/>
      </w:rPr>
    </w:lvl>
    <w:lvl w:ilvl="4">
      <w:start w:val="0"/>
      <w:numFmt w:val="bullet"/>
      <w:lvlText w:val="•"/>
      <w:lvlJc w:val="left"/>
      <w:pPr>
        <w:ind w:left="1853" w:hanging="410"/>
      </w:pPr>
      <w:rPr>
        <w:rFonts w:hint="default"/>
        <w:lang w:val="es-ES" w:eastAsia="en-US" w:bidi="ar-SA"/>
      </w:rPr>
    </w:lvl>
    <w:lvl w:ilvl="5">
      <w:start w:val="0"/>
      <w:numFmt w:val="bullet"/>
      <w:lvlText w:val="•"/>
      <w:lvlJc w:val="left"/>
      <w:pPr>
        <w:ind w:left="2111" w:hanging="410"/>
      </w:pPr>
      <w:rPr>
        <w:rFonts w:hint="default"/>
        <w:lang w:val="es-ES" w:eastAsia="en-US" w:bidi="ar-SA"/>
      </w:rPr>
    </w:lvl>
    <w:lvl w:ilvl="6">
      <w:start w:val="0"/>
      <w:numFmt w:val="bullet"/>
      <w:lvlText w:val="•"/>
      <w:lvlJc w:val="left"/>
      <w:pPr>
        <w:ind w:left="2369" w:hanging="410"/>
      </w:pPr>
      <w:rPr>
        <w:rFonts w:hint="default"/>
        <w:lang w:val="es-ES" w:eastAsia="en-US" w:bidi="ar-SA"/>
      </w:rPr>
    </w:lvl>
    <w:lvl w:ilvl="7">
      <w:start w:val="0"/>
      <w:numFmt w:val="bullet"/>
      <w:lvlText w:val="•"/>
      <w:lvlJc w:val="left"/>
      <w:pPr>
        <w:ind w:left="2628" w:hanging="410"/>
      </w:pPr>
      <w:rPr>
        <w:rFonts w:hint="default"/>
        <w:lang w:val="es-ES" w:eastAsia="en-US" w:bidi="ar-SA"/>
      </w:rPr>
    </w:lvl>
    <w:lvl w:ilvl="8">
      <w:start w:val="0"/>
      <w:numFmt w:val="bullet"/>
      <w:lvlText w:val="•"/>
      <w:lvlJc w:val="left"/>
      <w:pPr>
        <w:ind w:left="2886" w:hanging="410"/>
      </w:pPr>
      <w:rPr>
        <w:rFonts w:hint="default"/>
        <w:lang w:val="es-ES" w:eastAsia="en-US" w:bidi="ar-SA"/>
      </w:rPr>
    </w:lvl>
  </w:abstractNum>
  <w:abstractNum w:abstractNumId="21">
    <w:multiLevelType w:val="hybridMultilevel"/>
    <w:lvl w:ilvl="0">
      <w:start w:val="1"/>
      <w:numFmt w:val="decimal"/>
      <w:lvlText w:val="%1."/>
      <w:lvlJc w:val="left"/>
      <w:pPr>
        <w:ind w:left="465" w:hanging="361"/>
        <w:jc w:val="left"/>
      </w:pPr>
      <w:rPr>
        <w:rFonts w:hint="default" w:ascii="Arial MT" w:hAnsi="Arial MT" w:eastAsia="Arial MT" w:cs="Arial MT"/>
        <w:b w:val="0"/>
        <w:bCs w:val="0"/>
        <w:i w:val="0"/>
        <w:iCs w:val="0"/>
        <w:spacing w:val="-1"/>
        <w:w w:val="100"/>
        <w:sz w:val="18"/>
        <w:szCs w:val="18"/>
        <w:lang w:val="es-ES" w:eastAsia="en-US" w:bidi="ar-SA"/>
      </w:rPr>
    </w:lvl>
    <w:lvl w:ilvl="1">
      <w:start w:val="0"/>
      <w:numFmt w:val="bullet"/>
      <w:lvlText w:val="•"/>
      <w:lvlJc w:val="left"/>
      <w:pPr>
        <w:ind w:left="611" w:hanging="361"/>
      </w:pPr>
      <w:rPr>
        <w:rFonts w:hint="default"/>
        <w:lang w:val="es-ES" w:eastAsia="en-US" w:bidi="ar-SA"/>
      </w:rPr>
    </w:lvl>
    <w:lvl w:ilvl="2">
      <w:start w:val="0"/>
      <w:numFmt w:val="bullet"/>
      <w:lvlText w:val="•"/>
      <w:lvlJc w:val="left"/>
      <w:pPr>
        <w:ind w:left="763" w:hanging="361"/>
      </w:pPr>
      <w:rPr>
        <w:rFonts w:hint="default"/>
        <w:lang w:val="es-ES" w:eastAsia="en-US" w:bidi="ar-SA"/>
      </w:rPr>
    </w:lvl>
    <w:lvl w:ilvl="3">
      <w:start w:val="0"/>
      <w:numFmt w:val="bullet"/>
      <w:lvlText w:val="•"/>
      <w:lvlJc w:val="left"/>
      <w:pPr>
        <w:ind w:left="914" w:hanging="361"/>
      </w:pPr>
      <w:rPr>
        <w:rFonts w:hint="default"/>
        <w:lang w:val="es-ES" w:eastAsia="en-US" w:bidi="ar-SA"/>
      </w:rPr>
    </w:lvl>
    <w:lvl w:ilvl="4">
      <w:start w:val="0"/>
      <w:numFmt w:val="bullet"/>
      <w:lvlText w:val="•"/>
      <w:lvlJc w:val="left"/>
      <w:pPr>
        <w:ind w:left="1066" w:hanging="361"/>
      </w:pPr>
      <w:rPr>
        <w:rFonts w:hint="default"/>
        <w:lang w:val="es-ES" w:eastAsia="en-US" w:bidi="ar-SA"/>
      </w:rPr>
    </w:lvl>
    <w:lvl w:ilvl="5">
      <w:start w:val="0"/>
      <w:numFmt w:val="bullet"/>
      <w:lvlText w:val="•"/>
      <w:lvlJc w:val="left"/>
      <w:pPr>
        <w:ind w:left="1217" w:hanging="361"/>
      </w:pPr>
      <w:rPr>
        <w:rFonts w:hint="default"/>
        <w:lang w:val="es-ES" w:eastAsia="en-US" w:bidi="ar-SA"/>
      </w:rPr>
    </w:lvl>
    <w:lvl w:ilvl="6">
      <w:start w:val="0"/>
      <w:numFmt w:val="bullet"/>
      <w:lvlText w:val="•"/>
      <w:lvlJc w:val="left"/>
      <w:pPr>
        <w:ind w:left="1369" w:hanging="361"/>
      </w:pPr>
      <w:rPr>
        <w:rFonts w:hint="default"/>
        <w:lang w:val="es-ES" w:eastAsia="en-US" w:bidi="ar-SA"/>
      </w:rPr>
    </w:lvl>
    <w:lvl w:ilvl="7">
      <w:start w:val="0"/>
      <w:numFmt w:val="bullet"/>
      <w:lvlText w:val="•"/>
      <w:lvlJc w:val="left"/>
      <w:pPr>
        <w:ind w:left="1520" w:hanging="361"/>
      </w:pPr>
      <w:rPr>
        <w:rFonts w:hint="default"/>
        <w:lang w:val="es-ES" w:eastAsia="en-US" w:bidi="ar-SA"/>
      </w:rPr>
    </w:lvl>
    <w:lvl w:ilvl="8">
      <w:start w:val="0"/>
      <w:numFmt w:val="bullet"/>
      <w:lvlText w:val="•"/>
      <w:lvlJc w:val="left"/>
      <w:pPr>
        <w:ind w:left="1672" w:hanging="361"/>
      </w:pPr>
      <w:rPr>
        <w:rFonts w:hint="default"/>
        <w:lang w:val="es-ES" w:eastAsia="en-US" w:bidi="ar-SA"/>
      </w:rPr>
    </w:lvl>
  </w:abstractNum>
  <w:abstractNum w:abstractNumId="20">
    <w:multiLevelType w:val="hybridMultilevel"/>
    <w:lvl w:ilvl="0">
      <w:start w:val="1"/>
      <w:numFmt w:val="decimal"/>
      <w:lvlText w:val="%1."/>
      <w:lvlJc w:val="left"/>
      <w:pPr>
        <w:ind w:left="421" w:hanging="317"/>
        <w:jc w:val="left"/>
      </w:pPr>
      <w:rPr>
        <w:rFonts w:hint="default" w:ascii="Arial MT" w:hAnsi="Arial MT" w:eastAsia="Arial MT" w:cs="Arial MT"/>
        <w:b w:val="0"/>
        <w:bCs w:val="0"/>
        <w:i w:val="0"/>
        <w:iCs w:val="0"/>
        <w:spacing w:val="-1"/>
        <w:w w:val="100"/>
        <w:sz w:val="18"/>
        <w:szCs w:val="18"/>
        <w:lang w:val="es-ES" w:eastAsia="en-US" w:bidi="ar-SA"/>
      </w:rPr>
    </w:lvl>
    <w:lvl w:ilvl="1">
      <w:start w:val="0"/>
      <w:numFmt w:val="bullet"/>
      <w:lvlText w:val="•"/>
      <w:lvlJc w:val="left"/>
      <w:pPr>
        <w:ind w:left="575" w:hanging="317"/>
      </w:pPr>
      <w:rPr>
        <w:rFonts w:hint="default"/>
        <w:lang w:val="es-ES" w:eastAsia="en-US" w:bidi="ar-SA"/>
      </w:rPr>
    </w:lvl>
    <w:lvl w:ilvl="2">
      <w:start w:val="0"/>
      <w:numFmt w:val="bullet"/>
      <w:lvlText w:val="•"/>
      <w:lvlJc w:val="left"/>
      <w:pPr>
        <w:ind w:left="731" w:hanging="317"/>
      </w:pPr>
      <w:rPr>
        <w:rFonts w:hint="default"/>
        <w:lang w:val="es-ES" w:eastAsia="en-US" w:bidi="ar-SA"/>
      </w:rPr>
    </w:lvl>
    <w:lvl w:ilvl="3">
      <w:start w:val="0"/>
      <w:numFmt w:val="bullet"/>
      <w:lvlText w:val="•"/>
      <w:lvlJc w:val="left"/>
      <w:pPr>
        <w:ind w:left="886" w:hanging="317"/>
      </w:pPr>
      <w:rPr>
        <w:rFonts w:hint="default"/>
        <w:lang w:val="es-ES" w:eastAsia="en-US" w:bidi="ar-SA"/>
      </w:rPr>
    </w:lvl>
    <w:lvl w:ilvl="4">
      <w:start w:val="0"/>
      <w:numFmt w:val="bullet"/>
      <w:lvlText w:val="•"/>
      <w:lvlJc w:val="left"/>
      <w:pPr>
        <w:ind w:left="1042" w:hanging="317"/>
      </w:pPr>
      <w:rPr>
        <w:rFonts w:hint="default"/>
        <w:lang w:val="es-ES" w:eastAsia="en-US" w:bidi="ar-SA"/>
      </w:rPr>
    </w:lvl>
    <w:lvl w:ilvl="5">
      <w:start w:val="0"/>
      <w:numFmt w:val="bullet"/>
      <w:lvlText w:val="•"/>
      <w:lvlJc w:val="left"/>
      <w:pPr>
        <w:ind w:left="1197" w:hanging="317"/>
      </w:pPr>
      <w:rPr>
        <w:rFonts w:hint="default"/>
        <w:lang w:val="es-ES" w:eastAsia="en-US" w:bidi="ar-SA"/>
      </w:rPr>
    </w:lvl>
    <w:lvl w:ilvl="6">
      <w:start w:val="0"/>
      <w:numFmt w:val="bullet"/>
      <w:lvlText w:val="•"/>
      <w:lvlJc w:val="left"/>
      <w:pPr>
        <w:ind w:left="1353" w:hanging="317"/>
      </w:pPr>
      <w:rPr>
        <w:rFonts w:hint="default"/>
        <w:lang w:val="es-ES" w:eastAsia="en-US" w:bidi="ar-SA"/>
      </w:rPr>
    </w:lvl>
    <w:lvl w:ilvl="7">
      <w:start w:val="0"/>
      <w:numFmt w:val="bullet"/>
      <w:lvlText w:val="•"/>
      <w:lvlJc w:val="left"/>
      <w:pPr>
        <w:ind w:left="1508" w:hanging="317"/>
      </w:pPr>
      <w:rPr>
        <w:rFonts w:hint="default"/>
        <w:lang w:val="es-ES" w:eastAsia="en-US" w:bidi="ar-SA"/>
      </w:rPr>
    </w:lvl>
    <w:lvl w:ilvl="8">
      <w:start w:val="0"/>
      <w:numFmt w:val="bullet"/>
      <w:lvlText w:val="•"/>
      <w:lvlJc w:val="left"/>
      <w:pPr>
        <w:ind w:left="1664" w:hanging="317"/>
      </w:pPr>
      <w:rPr>
        <w:rFonts w:hint="default"/>
        <w:lang w:val="es-ES" w:eastAsia="en-US" w:bidi="ar-SA"/>
      </w:rPr>
    </w:lvl>
  </w:abstractNum>
  <w:abstractNum w:abstractNumId="19">
    <w:multiLevelType w:val="hybridMultilevel"/>
    <w:lvl w:ilvl="0">
      <w:start w:val="6"/>
      <w:numFmt w:val="decimal"/>
      <w:lvlText w:val="%1"/>
      <w:lvlJc w:val="left"/>
      <w:pPr>
        <w:ind w:left="569" w:hanging="426"/>
        <w:jc w:val="left"/>
      </w:pPr>
      <w:rPr>
        <w:rFonts w:hint="default"/>
        <w:lang w:val="es-ES" w:eastAsia="en-US" w:bidi="ar-SA"/>
      </w:rPr>
    </w:lvl>
    <w:lvl w:ilvl="1">
      <w:start w:val="1"/>
      <w:numFmt w:val="decimal"/>
      <w:lvlText w:val="%1.%2."/>
      <w:lvlJc w:val="left"/>
      <w:pPr>
        <w:ind w:left="569" w:hanging="426"/>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0"/>
      <w:numFmt w:val="bullet"/>
      <w:lvlText w:val="•"/>
      <w:lvlJc w:val="left"/>
      <w:pPr>
        <w:ind w:left="2432" w:hanging="426"/>
      </w:pPr>
      <w:rPr>
        <w:rFonts w:hint="default"/>
        <w:lang w:val="es-ES" w:eastAsia="en-US" w:bidi="ar-SA"/>
      </w:rPr>
    </w:lvl>
    <w:lvl w:ilvl="3">
      <w:start w:val="0"/>
      <w:numFmt w:val="bullet"/>
      <w:lvlText w:val="•"/>
      <w:lvlJc w:val="left"/>
      <w:pPr>
        <w:ind w:left="3368" w:hanging="426"/>
      </w:pPr>
      <w:rPr>
        <w:rFonts w:hint="default"/>
        <w:lang w:val="es-ES" w:eastAsia="en-US" w:bidi="ar-SA"/>
      </w:rPr>
    </w:lvl>
    <w:lvl w:ilvl="4">
      <w:start w:val="0"/>
      <w:numFmt w:val="bullet"/>
      <w:lvlText w:val="•"/>
      <w:lvlJc w:val="left"/>
      <w:pPr>
        <w:ind w:left="4304" w:hanging="426"/>
      </w:pPr>
      <w:rPr>
        <w:rFonts w:hint="default"/>
        <w:lang w:val="es-ES" w:eastAsia="en-US" w:bidi="ar-SA"/>
      </w:rPr>
    </w:lvl>
    <w:lvl w:ilvl="5">
      <w:start w:val="0"/>
      <w:numFmt w:val="bullet"/>
      <w:lvlText w:val="•"/>
      <w:lvlJc w:val="left"/>
      <w:pPr>
        <w:ind w:left="5241" w:hanging="426"/>
      </w:pPr>
      <w:rPr>
        <w:rFonts w:hint="default"/>
        <w:lang w:val="es-ES" w:eastAsia="en-US" w:bidi="ar-SA"/>
      </w:rPr>
    </w:lvl>
    <w:lvl w:ilvl="6">
      <w:start w:val="0"/>
      <w:numFmt w:val="bullet"/>
      <w:lvlText w:val="•"/>
      <w:lvlJc w:val="left"/>
      <w:pPr>
        <w:ind w:left="6177" w:hanging="426"/>
      </w:pPr>
      <w:rPr>
        <w:rFonts w:hint="default"/>
        <w:lang w:val="es-ES" w:eastAsia="en-US" w:bidi="ar-SA"/>
      </w:rPr>
    </w:lvl>
    <w:lvl w:ilvl="7">
      <w:start w:val="0"/>
      <w:numFmt w:val="bullet"/>
      <w:lvlText w:val="•"/>
      <w:lvlJc w:val="left"/>
      <w:pPr>
        <w:ind w:left="7113" w:hanging="426"/>
      </w:pPr>
      <w:rPr>
        <w:rFonts w:hint="default"/>
        <w:lang w:val="es-ES" w:eastAsia="en-US" w:bidi="ar-SA"/>
      </w:rPr>
    </w:lvl>
    <w:lvl w:ilvl="8">
      <w:start w:val="0"/>
      <w:numFmt w:val="bullet"/>
      <w:lvlText w:val="•"/>
      <w:lvlJc w:val="left"/>
      <w:pPr>
        <w:ind w:left="8049" w:hanging="426"/>
      </w:pPr>
      <w:rPr>
        <w:rFonts w:hint="default"/>
        <w:lang w:val="es-ES" w:eastAsia="en-US" w:bidi="ar-SA"/>
      </w:rPr>
    </w:lvl>
  </w:abstractNum>
  <w:abstractNum w:abstractNumId="18">
    <w:multiLevelType w:val="hybridMultilevel"/>
    <w:lvl w:ilvl="0">
      <w:start w:val="0"/>
      <w:numFmt w:val="bullet"/>
      <w:lvlText w:val=""/>
      <w:lvlJc w:val="left"/>
      <w:pPr>
        <w:ind w:left="851" w:hanging="360"/>
      </w:pPr>
      <w:rPr>
        <w:rFonts w:hint="default" w:ascii="Symbol" w:hAnsi="Symbol" w:eastAsia="Symbol" w:cs="Symbol"/>
        <w:b w:val="0"/>
        <w:bCs w:val="0"/>
        <w:i w:val="0"/>
        <w:iCs w:val="0"/>
        <w:spacing w:val="0"/>
        <w:w w:val="100"/>
        <w:sz w:val="24"/>
        <w:szCs w:val="24"/>
        <w:lang w:val="es-ES" w:eastAsia="en-US" w:bidi="ar-SA"/>
      </w:rPr>
    </w:lvl>
    <w:lvl w:ilvl="1">
      <w:start w:val="0"/>
      <w:numFmt w:val="bullet"/>
      <w:lvlText w:val="•"/>
      <w:lvlJc w:val="left"/>
      <w:pPr>
        <w:ind w:left="1766" w:hanging="360"/>
      </w:pPr>
      <w:rPr>
        <w:rFonts w:hint="default"/>
        <w:lang w:val="es-ES" w:eastAsia="en-US" w:bidi="ar-SA"/>
      </w:rPr>
    </w:lvl>
    <w:lvl w:ilvl="2">
      <w:start w:val="0"/>
      <w:numFmt w:val="bullet"/>
      <w:lvlText w:val="•"/>
      <w:lvlJc w:val="left"/>
      <w:pPr>
        <w:ind w:left="2672" w:hanging="360"/>
      </w:pPr>
      <w:rPr>
        <w:rFonts w:hint="default"/>
        <w:lang w:val="es-ES" w:eastAsia="en-US" w:bidi="ar-SA"/>
      </w:rPr>
    </w:lvl>
    <w:lvl w:ilvl="3">
      <w:start w:val="0"/>
      <w:numFmt w:val="bullet"/>
      <w:lvlText w:val="•"/>
      <w:lvlJc w:val="left"/>
      <w:pPr>
        <w:ind w:left="3578" w:hanging="360"/>
      </w:pPr>
      <w:rPr>
        <w:rFonts w:hint="default"/>
        <w:lang w:val="es-ES" w:eastAsia="en-US" w:bidi="ar-SA"/>
      </w:rPr>
    </w:lvl>
    <w:lvl w:ilvl="4">
      <w:start w:val="0"/>
      <w:numFmt w:val="bullet"/>
      <w:lvlText w:val="•"/>
      <w:lvlJc w:val="left"/>
      <w:pPr>
        <w:ind w:left="4484" w:hanging="360"/>
      </w:pPr>
      <w:rPr>
        <w:rFonts w:hint="default"/>
        <w:lang w:val="es-ES" w:eastAsia="en-US" w:bidi="ar-SA"/>
      </w:rPr>
    </w:lvl>
    <w:lvl w:ilvl="5">
      <w:start w:val="0"/>
      <w:numFmt w:val="bullet"/>
      <w:lvlText w:val="•"/>
      <w:lvlJc w:val="left"/>
      <w:pPr>
        <w:ind w:left="5391" w:hanging="360"/>
      </w:pPr>
      <w:rPr>
        <w:rFonts w:hint="default"/>
        <w:lang w:val="es-ES" w:eastAsia="en-US" w:bidi="ar-SA"/>
      </w:rPr>
    </w:lvl>
    <w:lvl w:ilvl="6">
      <w:start w:val="0"/>
      <w:numFmt w:val="bullet"/>
      <w:lvlText w:val="•"/>
      <w:lvlJc w:val="left"/>
      <w:pPr>
        <w:ind w:left="6297" w:hanging="360"/>
      </w:pPr>
      <w:rPr>
        <w:rFonts w:hint="default"/>
        <w:lang w:val="es-ES" w:eastAsia="en-US" w:bidi="ar-SA"/>
      </w:rPr>
    </w:lvl>
    <w:lvl w:ilvl="7">
      <w:start w:val="0"/>
      <w:numFmt w:val="bullet"/>
      <w:lvlText w:val="•"/>
      <w:lvlJc w:val="left"/>
      <w:pPr>
        <w:ind w:left="7203" w:hanging="360"/>
      </w:pPr>
      <w:rPr>
        <w:rFonts w:hint="default"/>
        <w:lang w:val="es-ES" w:eastAsia="en-US" w:bidi="ar-SA"/>
      </w:rPr>
    </w:lvl>
    <w:lvl w:ilvl="8">
      <w:start w:val="0"/>
      <w:numFmt w:val="bullet"/>
      <w:lvlText w:val="•"/>
      <w:lvlJc w:val="left"/>
      <w:pPr>
        <w:ind w:left="8109" w:hanging="360"/>
      </w:pPr>
      <w:rPr>
        <w:rFonts w:hint="default"/>
        <w:lang w:val="es-ES" w:eastAsia="en-US" w:bidi="ar-SA"/>
      </w:rPr>
    </w:lvl>
  </w:abstractNum>
  <w:abstractNum w:abstractNumId="17">
    <w:multiLevelType w:val="hybridMultilevel"/>
    <w:lvl w:ilvl="0">
      <w:start w:val="0"/>
      <w:numFmt w:val="bullet"/>
      <w:lvlText w:val=""/>
      <w:lvlJc w:val="left"/>
      <w:pPr>
        <w:ind w:left="1561" w:hanging="360"/>
      </w:pPr>
      <w:rPr>
        <w:rFonts w:hint="default" w:ascii="Symbol" w:hAnsi="Symbol" w:eastAsia="Symbol" w:cs="Symbol"/>
        <w:b w:val="0"/>
        <w:bCs w:val="0"/>
        <w:i w:val="0"/>
        <w:iCs w:val="0"/>
        <w:spacing w:val="0"/>
        <w:w w:val="100"/>
        <w:sz w:val="24"/>
        <w:szCs w:val="24"/>
        <w:lang w:val="es-ES" w:eastAsia="en-US" w:bidi="ar-SA"/>
      </w:rPr>
    </w:lvl>
    <w:lvl w:ilvl="1">
      <w:start w:val="0"/>
      <w:numFmt w:val="bullet"/>
      <w:lvlText w:val="•"/>
      <w:lvlJc w:val="left"/>
      <w:pPr>
        <w:ind w:left="2396" w:hanging="360"/>
      </w:pPr>
      <w:rPr>
        <w:rFonts w:hint="default"/>
        <w:lang w:val="es-ES" w:eastAsia="en-US" w:bidi="ar-SA"/>
      </w:rPr>
    </w:lvl>
    <w:lvl w:ilvl="2">
      <w:start w:val="0"/>
      <w:numFmt w:val="bullet"/>
      <w:lvlText w:val="•"/>
      <w:lvlJc w:val="left"/>
      <w:pPr>
        <w:ind w:left="3232" w:hanging="360"/>
      </w:pPr>
      <w:rPr>
        <w:rFonts w:hint="default"/>
        <w:lang w:val="es-ES" w:eastAsia="en-US" w:bidi="ar-SA"/>
      </w:rPr>
    </w:lvl>
    <w:lvl w:ilvl="3">
      <w:start w:val="0"/>
      <w:numFmt w:val="bullet"/>
      <w:lvlText w:val="•"/>
      <w:lvlJc w:val="left"/>
      <w:pPr>
        <w:ind w:left="4068" w:hanging="360"/>
      </w:pPr>
      <w:rPr>
        <w:rFonts w:hint="default"/>
        <w:lang w:val="es-ES" w:eastAsia="en-US" w:bidi="ar-SA"/>
      </w:rPr>
    </w:lvl>
    <w:lvl w:ilvl="4">
      <w:start w:val="0"/>
      <w:numFmt w:val="bullet"/>
      <w:lvlText w:val="•"/>
      <w:lvlJc w:val="left"/>
      <w:pPr>
        <w:ind w:left="4904" w:hanging="360"/>
      </w:pPr>
      <w:rPr>
        <w:rFonts w:hint="default"/>
        <w:lang w:val="es-ES" w:eastAsia="en-US" w:bidi="ar-SA"/>
      </w:rPr>
    </w:lvl>
    <w:lvl w:ilvl="5">
      <w:start w:val="0"/>
      <w:numFmt w:val="bullet"/>
      <w:lvlText w:val="•"/>
      <w:lvlJc w:val="left"/>
      <w:pPr>
        <w:ind w:left="5741" w:hanging="360"/>
      </w:pPr>
      <w:rPr>
        <w:rFonts w:hint="default"/>
        <w:lang w:val="es-ES" w:eastAsia="en-US" w:bidi="ar-SA"/>
      </w:rPr>
    </w:lvl>
    <w:lvl w:ilvl="6">
      <w:start w:val="0"/>
      <w:numFmt w:val="bullet"/>
      <w:lvlText w:val="•"/>
      <w:lvlJc w:val="left"/>
      <w:pPr>
        <w:ind w:left="6577" w:hanging="360"/>
      </w:pPr>
      <w:rPr>
        <w:rFonts w:hint="default"/>
        <w:lang w:val="es-ES" w:eastAsia="en-US" w:bidi="ar-SA"/>
      </w:rPr>
    </w:lvl>
    <w:lvl w:ilvl="7">
      <w:start w:val="0"/>
      <w:numFmt w:val="bullet"/>
      <w:lvlText w:val="•"/>
      <w:lvlJc w:val="left"/>
      <w:pPr>
        <w:ind w:left="7413" w:hanging="360"/>
      </w:pPr>
      <w:rPr>
        <w:rFonts w:hint="default"/>
        <w:lang w:val="es-ES" w:eastAsia="en-US" w:bidi="ar-SA"/>
      </w:rPr>
    </w:lvl>
    <w:lvl w:ilvl="8">
      <w:start w:val="0"/>
      <w:numFmt w:val="bullet"/>
      <w:lvlText w:val="•"/>
      <w:lvlJc w:val="left"/>
      <w:pPr>
        <w:ind w:left="8249" w:hanging="360"/>
      </w:pPr>
      <w:rPr>
        <w:rFonts w:hint="default"/>
        <w:lang w:val="es-ES" w:eastAsia="en-US" w:bidi="ar-SA"/>
      </w:rPr>
    </w:lvl>
  </w:abstractNum>
  <w:abstractNum w:abstractNumId="16">
    <w:multiLevelType w:val="hybridMultilevel"/>
    <w:lvl w:ilvl="0">
      <w:start w:val="3"/>
      <w:numFmt w:val="decimal"/>
      <w:lvlText w:val="%1"/>
      <w:lvlJc w:val="left"/>
      <w:pPr>
        <w:ind w:left="1165" w:hanging="606"/>
        <w:jc w:val="left"/>
      </w:pPr>
      <w:rPr>
        <w:rFonts w:hint="default"/>
        <w:lang w:val="es-ES" w:eastAsia="en-US" w:bidi="ar-SA"/>
      </w:rPr>
    </w:lvl>
    <w:lvl w:ilvl="1">
      <w:start w:val="6"/>
      <w:numFmt w:val="decimal"/>
      <w:lvlText w:val="%1.%2"/>
      <w:lvlJc w:val="left"/>
      <w:pPr>
        <w:ind w:left="1165" w:hanging="606"/>
        <w:jc w:val="left"/>
      </w:pPr>
      <w:rPr>
        <w:rFonts w:hint="default"/>
        <w:lang w:val="es-ES" w:eastAsia="en-US" w:bidi="ar-SA"/>
      </w:rPr>
    </w:lvl>
    <w:lvl w:ilvl="2">
      <w:start w:val="1"/>
      <w:numFmt w:val="decimal"/>
      <w:lvlText w:val="%1.%2.%3."/>
      <w:lvlJc w:val="left"/>
      <w:pPr>
        <w:ind w:left="1165" w:hanging="606"/>
        <w:jc w:val="left"/>
      </w:pPr>
      <w:rPr>
        <w:rFonts w:hint="default" w:ascii="Times New Roman" w:hAnsi="Times New Roman" w:eastAsia="Times New Roman" w:cs="Times New Roman"/>
        <w:b/>
        <w:bCs/>
        <w:i/>
        <w:iCs/>
        <w:spacing w:val="0"/>
        <w:w w:val="100"/>
        <w:sz w:val="24"/>
        <w:szCs w:val="24"/>
        <w:lang w:val="es-ES" w:eastAsia="en-US" w:bidi="ar-SA"/>
      </w:rPr>
    </w:lvl>
    <w:lvl w:ilvl="3">
      <w:start w:val="0"/>
      <w:numFmt w:val="bullet"/>
      <w:lvlText w:val="•"/>
      <w:lvlJc w:val="left"/>
      <w:pPr>
        <w:ind w:left="3788" w:hanging="606"/>
      </w:pPr>
      <w:rPr>
        <w:rFonts w:hint="default"/>
        <w:lang w:val="es-ES" w:eastAsia="en-US" w:bidi="ar-SA"/>
      </w:rPr>
    </w:lvl>
    <w:lvl w:ilvl="4">
      <w:start w:val="0"/>
      <w:numFmt w:val="bullet"/>
      <w:lvlText w:val="•"/>
      <w:lvlJc w:val="left"/>
      <w:pPr>
        <w:ind w:left="4664" w:hanging="606"/>
      </w:pPr>
      <w:rPr>
        <w:rFonts w:hint="default"/>
        <w:lang w:val="es-ES" w:eastAsia="en-US" w:bidi="ar-SA"/>
      </w:rPr>
    </w:lvl>
    <w:lvl w:ilvl="5">
      <w:start w:val="0"/>
      <w:numFmt w:val="bullet"/>
      <w:lvlText w:val="•"/>
      <w:lvlJc w:val="left"/>
      <w:pPr>
        <w:ind w:left="5541" w:hanging="606"/>
      </w:pPr>
      <w:rPr>
        <w:rFonts w:hint="default"/>
        <w:lang w:val="es-ES" w:eastAsia="en-US" w:bidi="ar-SA"/>
      </w:rPr>
    </w:lvl>
    <w:lvl w:ilvl="6">
      <w:start w:val="0"/>
      <w:numFmt w:val="bullet"/>
      <w:lvlText w:val="•"/>
      <w:lvlJc w:val="left"/>
      <w:pPr>
        <w:ind w:left="6417" w:hanging="606"/>
      </w:pPr>
      <w:rPr>
        <w:rFonts w:hint="default"/>
        <w:lang w:val="es-ES" w:eastAsia="en-US" w:bidi="ar-SA"/>
      </w:rPr>
    </w:lvl>
    <w:lvl w:ilvl="7">
      <w:start w:val="0"/>
      <w:numFmt w:val="bullet"/>
      <w:lvlText w:val="•"/>
      <w:lvlJc w:val="left"/>
      <w:pPr>
        <w:ind w:left="7293" w:hanging="606"/>
      </w:pPr>
      <w:rPr>
        <w:rFonts w:hint="default"/>
        <w:lang w:val="es-ES" w:eastAsia="en-US" w:bidi="ar-SA"/>
      </w:rPr>
    </w:lvl>
    <w:lvl w:ilvl="8">
      <w:start w:val="0"/>
      <w:numFmt w:val="bullet"/>
      <w:lvlText w:val="•"/>
      <w:lvlJc w:val="left"/>
      <w:pPr>
        <w:ind w:left="8169" w:hanging="606"/>
      </w:pPr>
      <w:rPr>
        <w:rFonts w:hint="default"/>
        <w:lang w:val="es-ES" w:eastAsia="en-US" w:bidi="ar-SA"/>
      </w:rPr>
    </w:lvl>
  </w:abstractNum>
  <w:abstractNum w:abstractNumId="15">
    <w:multiLevelType w:val="hybridMultilevel"/>
    <w:lvl w:ilvl="0">
      <w:start w:val="5"/>
      <w:numFmt w:val="decimal"/>
      <w:lvlText w:val="%1"/>
      <w:lvlJc w:val="left"/>
      <w:pPr>
        <w:ind w:left="569" w:hanging="426"/>
        <w:jc w:val="left"/>
      </w:pPr>
      <w:rPr>
        <w:rFonts w:hint="default"/>
        <w:lang w:val="es-ES" w:eastAsia="en-US" w:bidi="ar-SA"/>
      </w:rPr>
    </w:lvl>
    <w:lvl w:ilvl="1">
      <w:start w:val="1"/>
      <w:numFmt w:val="decimal"/>
      <w:lvlText w:val="%1.%2."/>
      <w:lvlJc w:val="left"/>
      <w:pPr>
        <w:ind w:left="569" w:hanging="426"/>
        <w:jc w:val="right"/>
      </w:pPr>
      <w:rPr>
        <w:rFonts w:hint="default" w:ascii="Times New Roman" w:hAnsi="Times New Roman" w:eastAsia="Times New Roman" w:cs="Times New Roman"/>
        <w:b/>
        <w:bCs/>
        <w:i w:val="0"/>
        <w:iCs w:val="0"/>
        <w:spacing w:val="0"/>
        <w:w w:val="100"/>
        <w:sz w:val="24"/>
        <w:szCs w:val="24"/>
        <w:lang w:val="es-ES" w:eastAsia="en-US" w:bidi="ar-SA"/>
      </w:rPr>
    </w:lvl>
    <w:lvl w:ilvl="2">
      <w:start w:val="1"/>
      <w:numFmt w:val="decimal"/>
      <w:lvlText w:val="%1.%2.%3."/>
      <w:lvlJc w:val="left"/>
      <w:pPr>
        <w:ind w:left="1195" w:hanging="627"/>
        <w:jc w:val="right"/>
      </w:pPr>
      <w:rPr>
        <w:rFonts w:hint="default" w:ascii="Times New Roman" w:hAnsi="Times New Roman" w:eastAsia="Times New Roman" w:cs="Times New Roman"/>
        <w:b/>
        <w:bCs/>
        <w:i/>
        <w:iCs/>
        <w:spacing w:val="0"/>
        <w:w w:val="100"/>
        <w:sz w:val="24"/>
        <w:szCs w:val="24"/>
        <w:lang w:val="es-ES" w:eastAsia="en-US" w:bidi="ar-SA"/>
      </w:rPr>
    </w:lvl>
    <w:lvl w:ilvl="3">
      <w:start w:val="0"/>
      <w:numFmt w:val="bullet"/>
      <w:lvlText w:val=""/>
      <w:lvlJc w:val="left"/>
      <w:pPr>
        <w:ind w:left="1845" w:hanging="360"/>
      </w:pPr>
      <w:rPr>
        <w:rFonts w:hint="default" w:ascii="Symbol" w:hAnsi="Symbol" w:eastAsia="Symbol" w:cs="Symbol"/>
        <w:b w:val="0"/>
        <w:bCs w:val="0"/>
        <w:i w:val="0"/>
        <w:iCs w:val="0"/>
        <w:spacing w:val="0"/>
        <w:w w:val="100"/>
        <w:sz w:val="24"/>
        <w:szCs w:val="24"/>
        <w:lang w:val="es-ES" w:eastAsia="en-US" w:bidi="ar-SA"/>
      </w:rPr>
    </w:lvl>
    <w:lvl w:ilvl="4">
      <w:start w:val="0"/>
      <w:numFmt w:val="bullet"/>
      <w:lvlText w:val="•"/>
      <w:lvlJc w:val="left"/>
      <w:pPr>
        <w:ind w:left="2994" w:hanging="360"/>
      </w:pPr>
      <w:rPr>
        <w:rFonts w:hint="default"/>
        <w:lang w:val="es-ES" w:eastAsia="en-US" w:bidi="ar-SA"/>
      </w:rPr>
    </w:lvl>
    <w:lvl w:ilvl="5">
      <w:start w:val="0"/>
      <w:numFmt w:val="bullet"/>
      <w:lvlText w:val="•"/>
      <w:lvlJc w:val="left"/>
      <w:pPr>
        <w:ind w:left="4149" w:hanging="360"/>
      </w:pPr>
      <w:rPr>
        <w:rFonts w:hint="default"/>
        <w:lang w:val="es-ES" w:eastAsia="en-US" w:bidi="ar-SA"/>
      </w:rPr>
    </w:lvl>
    <w:lvl w:ilvl="6">
      <w:start w:val="0"/>
      <w:numFmt w:val="bullet"/>
      <w:lvlText w:val="•"/>
      <w:lvlJc w:val="left"/>
      <w:pPr>
        <w:ind w:left="5303" w:hanging="360"/>
      </w:pPr>
      <w:rPr>
        <w:rFonts w:hint="default"/>
        <w:lang w:val="es-ES" w:eastAsia="en-US" w:bidi="ar-SA"/>
      </w:rPr>
    </w:lvl>
    <w:lvl w:ilvl="7">
      <w:start w:val="0"/>
      <w:numFmt w:val="bullet"/>
      <w:lvlText w:val="•"/>
      <w:lvlJc w:val="left"/>
      <w:pPr>
        <w:ind w:left="6458" w:hanging="360"/>
      </w:pPr>
      <w:rPr>
        <w:rFonts w:hint="default"/>
        <w:lang w:val="es-ES" w:eastAsia="en-US" w:bidi="ar-SA"/>
      </w:rPr>
    </w:lvl>
    <w:lvl w:ilvl="8">
      <w:start w:val="0"/>
      <w:numFmt w:val="bullet"/>
      <w:lvlText w:val="•"/>
      <w:lvlJc w:val="left"/>
      <w:pPr>
        <w:ind w:left="7612" w:hanging="360"/>
      </w:pPr>
      <w:rPr>
        <w:rFonts w:hint="default"/>
        <w:lang w:val="es-ES" w:eastAsia="en-US" w:bidi="ar-SA"/>
      </w:rPr>
    </w:lvl>
  </w:abstractNum>
  <w:abstractNum w:abstractNumId="14">
    <w:multiLevelType w:val="hybridMultilevel"/>
    <w:lvl w:ilvl="0">
      <w:start w:val="1"/>
      <w:numFmt w:val="decimal"/>
      <w:lvlText w:val="%1"/>
      <w:lvlJc w:val="left"/>
      <w:pPr>
        <w:ind w:left="925" w:hanging="676"/>
        <w:jc w:val="left"/>
      </w:pPr>
      <w:rPr>
        <w:rFonts w:hint="default"/>
        <w:lang w:val="es-ES" w:eastAsia="en-US" w:bidi="ar-SA"/>
      </w:rPr>
    </w:lvl>
    <w:lvl w:ilvl="1">
      <w:start w:val="2"/>
      <w:numFmt w:val="decimal"/>
      <w:lvlText w:val="%1.%2"/>
      <w:lvlJc w:val="left"/>
      <w:pPr>
        <w:ind w:left="925" w:hanging="676"/>
        <w:jc w:val="left"/>
      </w:pPr>
      <w:rPr>
        <w:rFonts w:hint="default"/>
        <w:lang w:val="es-ES" w:eastAsia="en-US" w:bidi="ar-SA"/>
      </w:rPr>
    </w:lvl>
    <w:lvl w:ilvl="2">
      <w:start w:val="1"/>
      <w:numFmt w:val="decimal"/>
      <w:lvlText w:val="%1.%2.%3."/>
      <w:lvlJc w:val="left"/>
      <w:pPr>
        <w:ind w:left="925" w:hanging="676"/>
        <w:jc w:val="left"/>
      </w:pPr>
      <w:rPr>
        <w:rFonts w:hint="default" w:ascii="Calibri" w:hAnsi="Calibri" w:eastAsia="Calibri" w:cs="Calibri"/>
        <w:b w:val="0"/>
        <w:bCs w:val="0"/>
        <w:i w:val="0"/>
        <w:iCs w:val="0"/>
        <w:spacing w:val="0"/>
        <w:w w:val="100"/>
        <w:sz w:val="22"/>
        <w:szCs w:val="22"/>
        <w:lang w:val="es-ES" w:eastAsia="en-US" w:bidi="ar-SA"/>
      </w:rPr>
    </w:lvl>
    <w:lvl w:ilvl="3">
      <w:start w:val="0"/>
      <w:numFmt w:val="bullet"/>
      <w:lvlText w:val="•"/>
      <w:lvlJc w:val="left"/>
      <w:pPr>
        <w:ind w:left="1467" w:hanging="676"/>
      </w:pPr>
      <w:rPr>
        <w:rFonts w:hint="default"/>
        <w:lang w:val="es-ES" w:eastAsia="en-US" w:bidi="ar-SA"/>
      </w:rPr>
    </w:lvl>
    <w:lvl w:ilvl="4">
      <w:start w:val="0"/>
      <w:numFmt w:val="bullet"/>
      <w:lvlText w:val="•"/>
      <w:lvlJc w:val="left"/>
      <w:pPr>
        <w:ind w:left="1649" w:hanging="676"/>
      </w:pPr>
      <w:rPr>
        <w:rFonts w:hint="default"/>
        <w:lang w:val="es-ES" w:eastAsia="en-US" w:bidi="ar-SA"/>
      </w:rPr>
    </w:lvl>
    <w:lvl w:ilvl="5">
      <w:start w:val="0"/>
      <w:numFmt w:val="bullet"/>
      <w:lvlText w:val="•"/>
      <w:lvlJc w:val="left"/>
      <w:pPr>
        <w:ind w:left="1831" w:hanging="676"/>
      </w:pPr>
      <w:rPr>
        <w:rFonts w:hint="default"/>
        <w:lang w:val="es-ES" w:eastAsia="en-US" w:bidi="ar-SA"/>
      </w:rPr>
    </w:lvl>
    <w:lvl w:ilvl="6">
      <w:start w:val="0"/>
      <w:numFmt w:val="bullet"/>
      <w:lvlText w:val="•"/>
      <w:lvlJc w:val="left"/>
      <w:pPr>
        <w:ind w:left="2014" w:hanging="676"/>
      </w:pPr>
      <w:rPr>
        <w:rFonts w:hint="default"/>
        <w:lang w:val="es-ES" w:eastAsia="en-US" w:bidi="ar-SA"/>
      </w:rPr>
    </w:lvl>
    <w:lvl w:ilvl="7">
      <w:start w:val="0"/>
      <w:numFmt w:val="bullet"/>
      <w:lvlText w:val="•"/>
      <w:lvlJc w:val="left"/>
      <w:pPr>
        <w:ind w:left="2196" w:hanging="676"/>
      </w:pPr>
      <w:rPr>
        <w:rFonts w:hint="default"/>
        <w:lang w:val="es-ES" w:eastAsia="en-US" w:bidi="ar-SA"/>
      </w:rPr>
    </w:lvl>
    <w:lvl w:ilvl="8">
      <w:start w:val="0"/>
      <w:numFmt w:val="bullet"/>
      <w:lvlText w:val="•"/>
      <w:lvlJc w:val="left"/>
      <w:pPr>
        <w:ind w:left="2378" w:hanging="676"/>
      </w:pPr>
      <w:rPr>
        <w:rFonts w:hint="default"/>
        <w:lang w:val="es-ES" w:eastAsia="en-US" w:bidi="ar-SA"/>
      </w:rPr>
    </w:lvl>
  </w:abstractNum>
  <w:abstractNum w:abstractNumId="13">
    <w:multiLevelType w:val="hybridMultilevel"/>
    <w:lvl w:ilvl="0">
      <w:start w:val="1"/>
      <w:numFmt w:val="decimal"/>
      <w:lvlText w:val="%1"/>
      <w:lvlJc w:val="left"/>
      <w:pPr>
        <w:ind w:left="925" w:hanging="676"/>
        <w:jc w:val="left"/>
      </w:pPr>
      <w:rPr>
        <w:rFonts w:hint="default"/>
        <w:lang w:val="es-ES" w:eastAsia="en-US" w:bidi="ar-SA"/>
      </w:rPr>
    </w:lvl>
    <w:lvl w:ilvl="1">
      <w:start w:val="1"/>
      <w:numFmt w:val="decimal"/>
      <w:lvlText w:val="%1.%2"/>
      <w:lvlJc w:val="left"/>
      <w:pPr>
        <w:ind w:left="925" w:hanging="676"/>
        <w:jc w:val="left"/>
      </w:pPr>
      <w:rPr>
        <w:rFonts w:hint="default"/>
        <w:lang w:val="es-ES" w:eastAsia="en-US" w:bidi="ar-SA"/>
      </w:rPr>
    </w:lvl>
    <w:lvl w:ilvl="2">
      <w:start w:val="1"/>
      <w:numFmt w:val="decimal"/>
      <w:lvlText w:val="%1.%2.%3."/>
      <w:lvlJc w:val="left"/>
      <w:pPr>
        <w:ind w:left="925" w:hanging="676"/>
        <w:jc w:val="left"/>
      </w:pPr>
      <w:rPr>
        <w:rFonts w:hint="default" w:ascii="Calibri" w:hAnsi="Calibri" w:eastAsia="Calibri" w:cs="Calibri"/>
        <w:b w:val="0"/>
        <w:bCs w:val="0"/>
        <w:i w:val="0"/>
        <w:iCs w:val="0"/>
        <w:spacing w:val="0"/>
        <w:w w:val="100"/>
        <w:sz w:val="22"/>
        <w:szCs w:val="22"/>
        <w:lang w:val="es-ES" w:eastAsia="en-US" w:bidi="ar-SA"/>
      </w:rPr>
    </w:lvl>
    <w:lvl w:ilvl="3">
      <w:start w:val="0"/>
      <w:numFmt w:val="bullet"/>
      <w:lvlText w:val="•"/>
      <w:lvlJc w:val="left"/>
      <w:pPr>
        <w:ind w:left="1467" w:hanging="676"/>
      </w:pPr>
      <w:rPr>
        <w:rFonts w:hint="default"/>
        <w:lang w:val="es-ES" w:eastAsia="en-US" w:bidi="ar-SA"/>
      </w:rPr>
    </w:lvl>
    <w:lvl w:ilvl="4">
      <w:start w:val="0"/>
      <w:numFmt w:val="bullet"/>
      <w:lvlText w:val="•"/>
      <w:lvlJc w:val="left"/>
      <w:pPr>
        <w:ind w:left="1649" w:hanging="676"/>
      </w:pPr>
      <w:rPr>
        <w:rFonts w:hint="default"/>
        <w:lang w:val="es-ES" w:eastAsia="en-US" w:bidi="ar-SA"/>
      </w:rPr>
    </w:lvl>
    <w:lvl w:ilvl="5">
      <w:start w:val="0"/>
      <w:numFmt w:val="bullet"/>
      <w:lvlText w:val="•"/>
      <w:lvlJc w:val="left"/>
      <w:pPr>
        <w:ind w:left="1831" w:hanging="676"/>
      </w:pPr>
      <w:rPr>
        <w:rFonts w:hint="default"/>
        <w:lang w:val="es-ES" w:eastAsia="en-US" w:bidi="ar-SA"/>
      </w:rPr>
    </w:lvl>
    <w:lvl w:ilvl="6">
      <w:start w:val="0"/>
      <w:numFmt w:val="bullet"/>
      <w:lvlText w:val="•"/>
      <w:lvlJc w:val="left"/>
      <w:pPr>
        <w:ind w:left="2014" w:hanging="676"/>
      </w:pPr>
      <w:rPr>
        <w:rFonts w:hint="default"/>
        <w:lang w:val="es-ES" w:eastAsia="en-US" w:bidi="ar-SA"/>
      </w:rPr>
    </w:lvl>
    <w:lvl w:ilvl="7">
      <w:start w:val="0"/>
      <w:numFmt w:val="bullet"/>
      <w:lvlText w:val="•"/>
      <w:lvlJc w:val="left"/>
      <w:pPr>
        <w:ind w:left="2196" w:hanging="676"/>
      </w:pPr>
      <w:rPr>
        <w:rFonts w:hint="default"/>
        <w:lang w:val="es-ES" w:eastAsia="en-US" w:bidi="ar-SA"/>
      </w:rPr>
    </w:lvl>
    <w:lvl w:ilvl="8">
      <w:start w:val="0"/>
      <w:numFmt w:val="bullet"/>
      <w:lvlText w:val="•"/>
      <w:lvlJc w:val="left"/>
      <w:pPr>
        <w:ind w:left="2378" w:hanging="676"/>
      </w:pPr>
      <w:rPr>
        <w:rFonts w:hint="default"/>
        <w:lang w:val="es-ES" w:eastAsia="en-US" w:bidi="ar-SA"/>
      </w:rPr>
    </w:lvl>
  </w:abstractNum>
  <w:abstractNum w:abstractNumId="12">
    <w:multiLevelType w:val="hybridMultilevel"/>
    <w:lvl w:ilvl="0">
      <w:start w:val="1"/>
      <w:numFmt w:val="decimal"/>
      <w:lvlText w:val="%1."/>
      <w:lvlJc w:val="left"/>
      <w:pPr>
        <w:ind w:left="609" w:hanging="361"/>
        <w:jc w:val="left"/>
      </w:pPr>
      <w:rPr>
        <w:rFonts w:hint="default" w:ascii="Calibri" w:hAnsi="Calibri" w:eastAsia="Calibri" w:cs="Calibri"/>
        <w:b/>
        <w:bCs/>
        <w:i w:val="0"/>
        <w:iCs w:val="0"/>
        <w:spacing w:val="0"/>
        <w:w w:val="100"/>
        <w:sz w:val="22"/>
        <w:szCs w:val="22"/>
        <w:lang w:val="es-ES" w:eastAsia="en-US" w:bidi="ar-SA"/>
      </w:rPr>
    </w:lvl>
    <w:lvl w:ilvl="1">
      <w:start w:val="1"/>
      <w:numFmt w:val="decimal"/>
      <w:lvlText w:val="%1.%2."/>
      <w:lvlJc w:val="left"/>
      <w:pPr>
        <w:ind w:left="558" w:hanging="376"/>
        <w:jc w:val="left"/>
      </w:pPr>
      <w:rPr>
        <w:rFonts w:hint="default" w:ascii="Calibri" w:hAnsi="Calibri" w:eastAsia="Calibri" w:cs="Calibri"/>
        <w:b w:val="0"/>
        <w:bCs w:val="0"/>
        <w:i w:val="0"/>
        <w:iCs w:val="0"/>
        <w:spacing w:val="0"/>
        <w:w w:val="100"/>
        <w:sz w:val="22"/>
        <w:szCs w:val="22"/>
        <w:lang w:val="es-ES" w:eastAsia="en-US" w:bidi="ar-SA"/>
      </w:rPr>
    </w:lvl>
    <w:lvl w:ilvl="2">
      <w:start w:val="1"/>
      <w:numFmt w:val="decimal"/>
      <w:lvlText w:val="%1.%2.%3."/>
      <w:lvlJc w:val="left"/>
      <w:pPr>
        <w:ind w:left="925" w:hanging="676"/>
        <w:jc w:val="left"/>
      </w:pPr>
      <w:rPr>
        <w:rFonts w:hint="default" w:ascii="Calibri" w:hAnsi="Calibri" w:eastAsia="Calibri" w:cs="Calibri"/>
        <w:b w:val="0"/>
        <w:bCs w:val="0"/>
        <w:i w:val="0"/>
        <w:iCs w:val="0"/>
        <w:spacing w:val="0"/>
        <w:w w:val="100"/>
        <w:sz w:val="22"/>
        <w:szCs w:val="22"/>
        <w:lang w:val="es-ES" w:eastAsia="en-US" w:bidi="ar-SA"/>
      </w:rPr>
    </w:lvl>
    <w:lvl w:ilvl="3">
      <w:start w:val="0"/>
      <w:numFmt w:val="bullet"/>
      <w:lvlText w:val="•"/>
      <w:lvlJc w:val="left"/>
      <w:pPr>
        <w:ind w:left="2960" w:hanging="676"/>
      </w:pPr>
      <w:rPr>
        <w:rFonts w:hint="default"/>
        <w:lang w:val="es-ES" w:eastAsia="en-US" w:bidi="ar-SA"/>
      </w:rPr>
    </w:lvl>
    <w:lvl w:ilvl="4">
      <w:start w:val="0"/>
      <w:numFmt w:val="bullet"/>
      <w:lvlText w:val="•"/>
      <w:lvlJc w:val="left"/>
      <w:pPr>
        <w:ind w:left="2250" w:hanging="676"/>
      </w:pPr>
      <w:rPr>
        <w:rFonts w:hint="default"/>
        <w:lang w:val="es-ES" w:eastAsia="en-US" w:bidi="ar-SA"/>
      </w:rPr>
    </w:lvl>
    <w:lvl w:ilvl="5">
      <w:start w:val="0"/>
      <w:numFmt w:val="bullet"/>
      <w:lvlText w:val="•"/>
      <w:lvlJc w:val="left"/>
      <w:pPr>
        <w:ind w:left="1540" w:hanging="676"/>
      </w:pPr>
      <w:rPr>
        <w:rFonts w:hint="default"/>
        <w:lang w:val="es-ES" w:eastAsia="en-US" w:bidi="ar-SA"/>
      </w:rPr>
    </w:lvl>
    <w:lvl w:ilvl="6">
      <w:start w:val="0"/>
      <w:numFmt w:val="bullet"/>
      <w:lvlText w:val="•"/>
      <w:lvlJc w:val="left"/>
      <w:pPr>
        <w:ind w:left="830" w:hanging="676"/>
      </w:pPr>
      <w:rPr>
        <w:rFonts w:hint="default"/>
        <w:lang w:val="es-ES" w:eastAsia="en-US" w:bidi="ar-SA"/>
      </w:rPr>
    </w:lvl>
    <w:lvl w:ilvl="7">
      <w:start w:val="0"/>
      <w:numFmt w:val="bullet"/>
      <w:lvlText w:val="•"/>
      <w:lvlJc w:val="left"/>
      <w:pPr>
        <w:ind w:left="120" w:hanging="676"/>
      </w:pPr>
      <w:rPr>
        <w:rFonts w:hint="default"/>
        <w:lang w:val="es-ES" w:eastAsia="en-US" w:bidi="ar-SA"/>
      </w:rPr>
    </w:lvl>
    <w:lvl w:ilvl="8">
      <w:start w:val="0"/>
      <w:numFmt w:val="bullet"/>
      <w:lvlText w:val="•"/>
      <w:lvlJc w:val="left"/>
      <w:pPr>
        <w:ind w:left="-590" w:hanging="676"/>
      </w:pPr>
      <w:rPr>
        <w:rFonts w:hint="default"/>
        <w:lang w:val="es-ES" w:eastAsia="en-US" w:bidi="ar-SA"/>
      </w:rPr>
    </w:lvl>
  </w:abstractNum>
  <w:abstractNum w:abstractNumId="11">
    <w:multiLevelType w:val="hybridMultilevel"/>
    <w:lvl w:ilvl="0">
      <w:start w:val="4"/>
      <w:numFmt w:val="decimal"/>
      <w:lvlText w:val="%1"/>
      <w:lvlJc w:val="left"/>
      <w:pPr>
        <w:ind w:left="569" w:hanging="426"/>
        <w:jc w:val="left"/>
      </w:pPr>
      <w:rPr>
        <w:rFonts w:hint="default"/>
        <w:lang w:val="es-ES" w:eastAsia="en-US" w:bidi="ar-SA"/>
      </w:rPr>
    </w:lvl>
    <w:lvl w:ilvl="1">
      <w:start w:val="1"/>
      <w:numFmt w:val="decimal"/>
      <w:lvlText w:val="%1.%2."/>
      <w:lvlJc w:val="left"/>
      <w:pPr>
        <w:ind w:left="569" w:hanging="426"/>
        <w:jc w:val="right"/>
      </w:pPr>
      <w:rPr>
        <w:rFonts w:hint="default" w:ascii="Times New Roman" w:hAnsi="Times New Roman" w:eastAsia="Times New Roman" w:cs="Times New Roman"/>
        <w:b/>
        <w:bCs/>
        <w:i w:val="0"/>
        <w:iCs w:val="0"/>
        <w:spacing w:val="0"/>
        <w:w w:val="100"/>
        <w:sz w:val="24"/>
        <w:szCs w:val="24"/>
        <w:lang w:val="es-ES" w:eastAsia="en-US" w:bidi="ar-SA"/>
      </w:rPr>
    </w:lvl>
    <w:lvl w:ilvl="2">
      <w:start w:val="0"/>
      <w:numFmt w:val="bullet"/>
      <w:lvlText w:val=""/>
      <w:lvlJc w:val="left"/>
      <w:pPr>
        <w:ind w:left="1583" w:hanging="420"/>
      </w:pPr>
      <w:rPr>
        <w:rFonts w:hint="default" w:ascii="Symbol" w:hAnsi="Symbol" w:eastAsia="Symbol" w:cs="Symbol"/>
        <w:b w:val="0"/>
        <w:bCs w:val="0"/>
        <w:i w:val="0"/>
        <w:iCs w:val="0"/>
        <w:spacing w:val="0"/>
        <w:w w:val="100"/>
        <w:sz w:val="24"/>
        <w:szCs w:val="24"/>
        <w:lang w:val="es-ES" w:eastAsia="en-US" w:bidi="ar-SA"/>
      </w:rPr>
    </w:lvl>
    <w:lvl w:ilvl="3">
      <w:start w:val="0"/>
      <w:numFmt w:val="bullet"/>
      <w:lvlText w:val="•"/>
      <w:lvlJc w:val="left"/>
      <w:pPr>
        <w:ind w:left="3433" w:hanging="420"/>
      </w:pPr>
      <w:rPr>
        <w:rFonts w:hint="default"/>
        <w:lang w:val="es-ES" w:eastAsia="en-US" w:bidi="ar-SA"/>
      </w:rPr>
    </w:lvl>
    <w:lvl w:ilvl="4">
      <w:start w:val="0"/>
      <w:numFmt w:val="bullet"/>
      <w:lvlText w:val="•"/>
      <w:lvlJc w:val="left"/>
      <w:pPr>
        <w:ind w:left="4360" w:hanging="420"/>
      </w:pPr>
      <w:rPr>
        <w:rFonts w:hint="default"/>
        <w:lang w:val="es-ES" w:eastAsia="en-US" w:bidi="ar-SA"/>
      </w:rPr>
    </w:lvl>
    <w:lvl w:ilvl="5">
      <w:start w:val="0"/>
      <w:numFmt w:val="bullet"/>
      <w:lvlText w:val="•"/>
      <w:lvlJc w:val="left"/>
      <w:pPr>
        <w:ind w:left="5287" w:hanging="420"/>
      </w:pPr>
      <w:rPr>
        <w:rFonts w:hint="default"/>
        <w:lang w:val="es-ES" w:eastAsia="en-US" w:bidi="ar-SA"/>
      </w:rPr>
    </w:lvl>
    <w:lvl w:ilvl="6">
      <w:start w:val="0"/>
      <w:numFmt w:val="bullet"/>
      <w:lvlText w:val="•"/>
      <w:lvlJc w:val="left"/>
      <w:pPr>
        <w:ind w:left="6214" w:hanging="420"/>
      </w:pPr>
      <w:rPr>
        <w:rFonts w:hint="default"/>
        <w:lang w:val="es-ES" w:eastAsia="en-US" w:bidi="ar-SA"/>
      </w:rPr>
    </w:lvl>
    <w:lvl w:ilvl="7">
      <w:start w:val="0"/>
      <w:numFmt w:val="bullet"/>
      <w:lvlText w:val="•"/>
      <w:lvlJc w:val="left"/>
      <w:pPr>
        <w:ind w:left="7141" w:hanging="420"/>
      </w:pPr>
      <w:rPr>
        <w:rFonts w:hint="default"/>
        <w:lang w:val="es-ES" w:eastAsia="en-US" w:bidi="ar-SA"/>
      </w:rPr>
    </w:lvl>
    <w:lvl w:ilvl="8">
      <w:start w:val="0"/>
      <w:numFmt w:val="bullet"/>
      <w:lvlText w:val="•"/>
      <w:lvlJc w:val="left"/>
      <w:pPr>
        <w:ind w:left="8068" w:hanging="420"/>
      </w:pPr>
      <w:rPr>
        <w:rFonts w:hint="default"/>
        <w:lang w:val="es-ES" w:eastAsia="en-US" w:bidi="ar-SA"/>
      </w:rPr>
    </w:lvl>
  </w:abstractNum>
  <w:abstractNum w:abstractNumId="10">
    <w:multiLevelType w:val="hybridMultilevel"/>
    <w:lvl w:ilvl="0">
      <w:start w:val="3"/>
      <w:numFmt w:val="decimal"/>
      <w:lvlText w:val="%1"/>
      <w:lvlJc w:val="left"/>
      <w:pPr>
        <w:ind w:left="1169" w:hanging="600"/>
        <w:jc w:val="left"/>
      </w:pPr>
      <w:rPr>
        <w:rFonts w:hint="default"/>
        <w:lang w:val="es-ES" w:eastAsia="en-US" w:bidi="ar-SA"/>
      </w:rPr>
    </w:lvl>
    <w:lvl w:ilvl="1">
      <w:start w:val="2"/>
      <w:numFmt w:val="decimal"/>
      <w:lvlText w:val="%1.%2"/>
      <w:lvlJc w:val="left"/>
      <w:pPr>
        <w:ind w:left="1169" w:hanging="600"/>
        <w:jc w:val="left"/>
      </w:pPr>
      <w:rPr>
        <w:rFonts w:hint="default"/>
        <w:lang w:val="es-ES" w:eastAsia="en-US" w:bidi="ar-SA"/>
      </w:rPr>
    </w:lvl>
    <w:lvl w:ilvl="2">
      <w:start w:val="3"/>
      <w:numFmt w:val="decimal"/>
      <w:lvlText w:val="%1.%2.%3."/>
      <w:lvlJc w:val="left"/>
      <w:pPr>
        <w:ind w:left="1169" w:hanging="600"/>
        <w:jc w:val="left"/>
      </w:pPr>
      <w:rPr>
        <w:rFonts w:hint="default" w:ascii="Times New Roman" w:hAnsi="Times New Roman" w:eastAsia="Times New Roman" w:cs="Times New Roman"/>
        <w:b/>
        <w:bCs/>
        <w:i w:val="0"/>
        <w:iCs w:val="0"/>
        <w:spacing w:val="0"/>
        <w:w w:val="100"/>
        <w:sz w:val="24"/>
        <w:szCs w:val="24"/>
        <w:lang w:val="es-ES" w:eastAsia="en-US" w:bidi="ar-SA"/>
      </w:rPr>
    </w:lvl>
    <w:lvl w:ilvl="3">
      <w:start w:val="1"/>
      <w:numFmt w:val="decimal"/>
      <w:lvlText w:val="%4."/>
      <w:lvlJc w:val="left"/>
      <w:pPr>
        <w:ind w:left="1103" w:hanging="240"/>
        <w:jc w:val="left"/>
      </w:pPr>
      <w:rPr>
        <w:rFonts w:hint="default" w:ascii="Times New Roman" w:hAnsi="Times New Roman" w:eastAsia="Times New Roman" w:cs="Times New Roman"/>
        <w:b/>
        <w:bCs/>
        <w:i w:val="0"/>
        <w:iCs w:val="0"/>
        <w:spacing w:val="0"/>
        <w:w w:val="100"/>
        <w:sz w:val="24"/>
        <w:szCs w:val="24"/>
        <w:lang w:val="es-ES" w:eastAsia="en-US" w:bidi="ar-SA"/>
      </w:rPr>
    </w:lvl>
    <w:lvl w:ilvl="4">
      <w:start w:val="0"/>
      <w:numFmt w:val="bullet"/>
      <w:lvlText w:val=""/>
      <w:lvlJc w:val="left"/>
      <w:pPr>
        <w:ind w:left="1985" w:hanging="360"/>
      </w:pPr>
      <w:rPr>
        <w:rFonts w:hint="default" w:ascii="Symbol" w:hAnsi="Symbol" w:eastAsia="Symbol" w:cs="Symbol"/>
        <w:b w:val="0"/>
        <w:bCs w:val="0"/>
        <w:i w:val="0"/>
        <w:iCs w:val="0"/>
        <w:spacing w:val="0"/>
        <w:w w:val="100"/>
        <w:sz w:val="20"/>
        <w:szCs w:val="20"/>
        <w:lang w:val="es-ES" w:eastAsia="en-US" w:bidi="ar-SA"/>
      </w:rPr>
    </w:lvl>
    <w:lvl w:ilvl="5">
      <w:start w:val="0"/>
      <w:numFmt w:val="bullet"/>
      <w:lvlText w:val="•"/>
      <w:lvlJc w:val="left"/>
      <w:pPr>
        <w:ind w:left="2120" w:hanging="360"/>
      </w:pPr>
      <w:rPr>
        <w:rFonts w:hint="default"/>
        <w:lang w:val="es-ES" w:eastAsia="en-US" w:bidi="ar-SA"/>
      </w:rPr>
    </w:lvl>
    <w:lvl w:ilvl="6">
      <w:start w:val="0"/>
      <w:numFmt w:val="bullet"/>
      <w:lvlText w:val="•"/>
      <w:lvlJc w:val="left"/>
      <w:pPr>
        <w:ind w:left="2620" w:hanging="360"/>
      </w:pPr>
      <w:rPr>
        <w:rFonts w:hint="default"/>
        <w:lang w:val="es-ES" w:eastAsia="en-US" w:bidi="ar-SA"/>
      </w:rPr>
    </w:lvl>
    <w:lvl w:ilvl="7">
      <w:start w:val="0"/>
      <w:numFmt w:val="bullet"/>
      <w:lvlText w:val="•"/>
      <w:lvlJc w:val="left"/>
      <w:pPr>
        <w:ind w:left="4445" w:hanging="360"/>
      </w:pPr>
      <w:rPr>
        <w:rFonts w:hint="default"/>
        <w:lang w:val="es-ES" w:eastAsia="en-US" w:bidi="ar-SA"/>
      </w:rPr>
    </w:lvl>
    <w:lvl w:ilvl="8">
      <w:start w:val="0"/>
      <w:numFmt w:val="bullet"/>
      <w:lvlText w:val="•"/>
      <w:lvlJc w:val="left"/>
      <w:pPr>
        <w:ind w:left="6271" w:hanging="360"/>
      </w:pPr>
      <w:rPr>
        <w:rFonts w:hint="default"/>
        <w:lang w:val="es-ES" w:eastAsia="en-US" w:bidi="ar-SA"/>
      </w:rPr>
    </w:lvl>
  </w:abstractNum>
  <w:abstractNum w:abstractNumId="9">
    <w:multiLevelType w:val="hybridMultilevel"/>
    <w:lvl w:ilvl="0">
      <w:start w:val="3"/>
      <w:numFmt w:val="decimal"/>
      <w:lvlText w:val="%1"/>
      <w:lvlJc w:val="left"/>
      <w:pPr>
        <w:ind w:left="569" w:hanging="426"/>
        <w:jc w:val="left"/>
      </w:pPr>
      <w:rPr>
        <w:rFonts w:hint="default"/>
        <w:lang w:val="es-ES" w:eastAsia="en-US" w:bidi="ar-SA"/>
      </w:rPr>
    </w:lvl>
    <w:lvl w:ilvl="1">
      <w:start w:val="1"/>
      <w:numFmt w:val="decimal"/>
      <w:lvlText w:val="%1.%2."/>
      <w:lvlJc w:val="left"/>
      <w:pPr>
        <w:ind w:left="569" w:hanging="426"/>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1"/>
      <w:numFmt w:val="decimal"/>
      <w:lvlText w:val="%1.%2.%3."/>
      <w:lvlJc w:val="left"/>
      <w:pPr>
        <w:ind w:left="1033" w:hanging="607"/>
        <w:jc w:val="left"/>
      </w:pPr>
      <w:rPr>
        <w:rFonts w:hint="default" w:ascii="Times New Roman" w:hAnsi="Times New Roman" w:eastAsia="Times New Roman" w:cs="Times New Roman"/>
        <w:b/>
        <w:bCs/>
        <w:i/>
        <w:iCs/>
        <w:spacing w:val="0"/>
        <w:w w:val="100"/>
        <w:sz w:val="24"/>
        <w:szCs w:val="24"/>
        <w:lang w:val="es-ES" w:eastAsia="en-US" w:bidi="ar-SA"/>
      </w:rPr>
    </w:lvl>
    <w:lvl w:ilvl="3">
      <w:start w:val="1"/>
      <w:numFmt w:val="decimal"/>
      <w:lvlText w:val="%4."/>
      <w:lvlJc w:val="left"/>
      <w:pPr>
        <w:ind w:left="1135" w:hanging="361"/>
        <w:jc w:val="left"/>
      </w:pPr>
      <w:rPr>
        <w:rFonts w:hint="default" w:ascii="Times New Roman" w:hAnsi="Times New Roman" w:eastAsia="Times New Roman" w:cs="Times New Roman"/>
        <w:b/>
        <w:bCs/>
        <w:i w:val="0"/>
        <w:iCs w:val="0"/>
        <w:spacing w:val="0"/>
        <w:w w:val="100"/>
        <w:sz w:val="24"/>
        <w:szCs w:val="24"/>
        <w:lang w:val="es-ES" w:eastAsia="en-US" w:bidi="ar-SA"/>
      </w:rPr>
    </w:lvl>
    <w:lvl w:ilvl="4">
      <w:start w:val="1"/>
      <w:numFmt w:val="decimal"/>
      <w:lvlText w:val="%5."/>
      <w:lvlJc w:val="left"/>
      <w:pPr>
        <w:ind w:left="1985" w:hanging="360"/>
        <w:jc w:val="right"/>
      </w:pPr>
      <w:rPr>
        <w:rFonts w:hint="default" w:ascii="Times New Roman" w:hAnsi="Times New Roman" w:eastAsia="Times New Roman" w:cs="Times New Roman"/>
        <w:b/>
        <w:bCs/>
        <w:i w:val="0"/>
        <w:iCs w:val="0"/>
        <w:spacing w:val="0"/>
        <w:w w:val="100"/>
        <w:sz w:val="24"/>
        <w:szCs w:val="24"/>
        <w:lang w:val="es-ES" w:eastAsia="en-US" w:bidi="ar-SA"/>
      </w:rPr>
    </w:lvl>
    <w:lvl w:ilvl="5">
      <w:start w:val="0"/>
      <w:numFmt w:val="bullet"/>
      <w:lvlText w:val="•"/>
      <w:lvlJc w:val="left"/>
      <w:pPr>
        <w:ind w:left="3303" w:hanging="360"/>
      </w:pPr>
      <w:rPr>
        <w:rFonts w:hint="default"/>
        <w:lang w:val="es-ES" w:eastAsia="en-US" w:bidi="ar-SA"/>
      </w:rPr>
    </w:lvl>
    <w:lvl w:ilvl="6">
      <w:start w:val="0"/>
      <w:numFmt w:val="bullet"/>
      <w:lvlText w:val="•"/>
      <w:lvlJc w:val="left"/>
      <w:pPr>
        <w:ind w:left="4627" w:hanging="360"/>
      </w:pPr>
      <w:rPr>
        <w:rFonts w:hint="default"/>
        <w:lang w:val="es-ES" w:eastAsia="en-US" w:bidi="ar-SA"/>
      </w:rPr>
    </w:lvl>
    <w:lvl w:ilvl="7">
      <w:start w:val="0"/>
      <w:numFmt w:val="bullet"/>
      <w:lvlText w:val="•"/>
      <w:lvlJc w:val="left"/>
      <w:pPr>
        <w:ind w:left="5951" w:hanging="360"/>
      </w:pPr>
      <w:rPr>
        <w:rFonts w:hint="default"/>
        <w:lang w:val="es-ES" w:eastAsia="en-US" w:bidi="ar-SA"/>
      </w:rPr>
    </w:lvl>
    <w:lvl w:ilvl="8">
      <w:start w:val="0"/>
      <w:numFmt w:val="bullet"/>
      <w:lvlText w:val="•"/>
      <w:lvlJc w:val="left"/>
      <w:pPr>
        <w:ind w:left="7274" w:hanging="360"/>
      </w:pPr>
      <w:rPr>
        <w:rFonts w:hint="default"/>
        <w:lang w:val="es-ES" w:eastAsia="en-US" w:bidi="ar-SA"/>
      </w:rPr>
    </w:lvl>
  </w:abstractNum>
  <w:abstractNum w:abstractNumId="8">
    <w:multiLevelType w:val="hybridMultilevel"/>
    <w:lvl w:ilvl="0">
      <w:start w:val="2"/>
      <w:numFmt w:val="decimal"/>
      <w:lvlText w:val="%1"/>
      <w:lvlJc w:val="left"/>
      <w:pPr>
        <w:ind w:left="569" w:hanging="426"/>
        <w:jc w:val="left"/>
      </w:pPr>
      <w:rPr>
        <w:rFonts w:hint="default"/>
        <w:lang w:val="es-ES" w:eastAsia="en-US" w:bidi="ar-SA"/>
      </w:rPr>
    </w:lvl>
    <w:lvl w:ilvl="1">
      <w:start w:val="1"/>
      <w:numFmt w:val="decimal"/>
      <w:lvlText w:val="%1.%2."/>
      <w:lvlJc w:val="left"/>
      <w:pPr>
        <w:ind w:left="569" w:hanging="426"/>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0"/>
      <w:numFmt w:val="bullet"/>
      <w:lvlText w:val=""/>
      <w:lvlJc w:val="left"/>
      <w:pPr>
        <w:ind w:left="1583" w:hanging="420"/>
      </w:pPr>
      <w:rPr>
        <w:rFonts w:hint="default" w:ascii="Symbol" w:hAnsi="Symbol" w:eastAsia="Symbol" w:cs="Symbol"/>
        <w:b w:val="0"/>
        <w:bCs w:val="0"/>
        <w:i w:val="0"/>
        <w:iCs w:val="0"/>
        <w:spacing w:val="0"/>
        <w:w w:val="100"/>
        <w:sz w:val="24"/>
        <w:szCs w:val="24"/>
        <w:lang w:val="es-ES" w:eastAsia="en-US" w:bidi="ar-SA"/>
      </w:rPr>
    </w:lvl>
    <w:lvl w:ilvl="3">
      <w:start w:val="0"/>
      <w:numFmt w:val="bullet"/>
      <w:lvlText w:val="•"/>
      <w:lvlJc w:val="left"/>
      <w:pPr>
        <w:ind w:left="3433" w:hanging="420"/>
      </w:pPr>
      <w:rPr>
        <w:rFonts w:hint="default"/>
        <w:lang w:val="es-ES" w:eastAsia="en-US" w:bidi="ar-SA"/>
      </w:rPr>
    </w:lvl>
    <w:lvl w:ilvl="4">
      <w:start w:val="0"/>
      <w:numFmt w:val="bullet"/>
      <w:lvlText w:val="•"/>
      <w:lvlJc w:val="left"/>
      <w:pPr>
        <w:ind w:left="4360" w:hanging="420"/>
      </w:pPr>
      <w:rPr>
        <w:rFonts w:hint="default"/>
        <w:lang w:val="es-ES" w:eastAsia="en-US" w:bidi="ar-SA"/>
      </w:rPr>
    </w:lvl>
    <w:lvl w:ilvl="5">
      <w:start w:val="0"/>
      <w:numFmt w:val="bullet"/>
      <w:lvlText w:val="•"/>
      <w:lvlJc w:val="left"/>
      <w:pPr>
        <w:ind w:left="5287" w:hanging="420"/>
      </w:pPr>
      <w:rPr>
        <w:rFonts w:hint="default"/>
        <w:lang w:val="es-ES" w:eastAsia="en-US" w:bidi="ar-SA"/>
      </w:rPr>
    </w:lvl>
    <w:lvl w:ilvl="6">
      <w:start w:val="0"/>
      <w:numFmt w:val="bullet"/>
      <w:lvlText w:val="•"/>
      <w:lvlJc w:val="left"/>
      <w:pPr>
        <w:ind w:left="6214" w:hanging="420"/>
      </w:pPr>
      <w:rPr>
        <w:rFonts w:hint="default"/>
        <w:lang w:val="es-ES" w:eastAsia="en-US" w:bidi="ar-SA"/>
      </w:rPr>
    </w:lvl>
    <w:lvl w:ilvl="7">
      <w:start w:val="0"/>
      <w:numFmt w:val="bullet"/>
      <w:lvlText w:val="•"/>
      <w:lvlJc w:val="left"/>
      <w:pPr>
        <w:ind w:left="7141" w:hanging="420"/>
      </w:pPr>
      <w:rPr>
        <w:rFonts w:hint="default"/>
        <w:lang w:val="es-ES" w:eastAsia="en-US" w:bidi="ar-SA"/>
      </w:rPr>
    </w:lvl>
    <w:lvl w:ilvl="8">
      <w:start w:val="0"/>
      <w:numFmt w:val="bullet"/>
      <w:lvlText w:val="•"/>
      <w:lvlJc w:val="left"/>
      <w:pPr>
        <w:ind w:left="8068" w:hanging="420"/>
      </w:pPr>
      <w:rPr>
        <w:rFonts w:hint="default"/>
        <w:lang w:val="es-ES" w:eastAsia="en-US" w:bidi="ar-SA"/>
      </w:rPr>
    </w:lvl>
  </w:abstractNum>
  <w:abstractNum w:abstractNumId="7">
    <w:multiLevelType w:val="hybridMultilevel"/>
    <w:lvl w:ilvl="0">
      <w:start w:val="1"/>
      <w:numFmt w:val="decimal"/>
      <w:lvlText w:val="%1"/>
      <w:lvlJc w:val="left"/>
      <w:pPr>
        <w:ind w:left="569" w:hanging="426"/>
        <w:jc w:val="left"/>
      </w:pPr>
      <w:rPr>
        <w:rFonts w:hint="default"/>
        <w:lang w:val="es-ES" w:eastAsia="en-US" w:bidi="ar-SA"/>
      </w:rPr>
    </w:lvl>
    <w:lvl w:ilvl="1">
      <w:start w:val="1"/>
      <w:numFmt w:val="decimal"/>
      <w:lvlText w:val="%1.%2."/>
      <w:lvlJc w:val="left"/>
      <w:pPr>
        <w:ind w:left="569" w:hanging="426"/>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1"/>
      <w:numFmt w:val="decimal"/>
      <w:lvlText w:val="%1.%2.%3."/>
      <w:lvlJc w:val="left"/>
      <w:pPr>
        <w:ind w:left="1033" w:hanging="607"/>
        <w:jc w:val="left"/>
      </w:pPr>
      <w:rPr>
        <w:rFonts w:hint="default" w:ascii="Times New Roman" w:hAnsi="Times New Roman" w:eastAsia="Times New Roman" w:cs="Times New Roman"/>
        <w:b/>
        <w:bCs/>
        <w:i/>
        <w:iCs/>
        <w:spacing w:val="0"/>
        <w:w w:val="100"/>
        <w:sz w:val="24"/>
        <w:szCs w:val="24"/>
        <w:lang w:val="es-ES" w:eastAsia="en-US" w:bidi="ar-SA"/>
      </w:rPr>
    </w:lvl>
    <w:lvl w:ilvl="3">
      <w:start w:val="0"/>
      <w:numFmt w:val="bullet"/>
      <w:lvlText w:val=""/>
      <w:lvlJc w:val="left"/>
      <w:pPr>
        <w:ind w:left="1583" w:hanging="360"/>
      </w:pPr>
      <w:rPr>
        <w:rFonts w:hint="default" w:ascii="Symbol" w:hAnsi="Symbol" w:eastAsia="Symbol" w:cs="Symbol"/>
        <w:b w:val="0"/>
        <w:bCs w:val="0"/>
        <w:i w:val="0"/>
        <w:iCs w:val="0"/>
        <w:spacing w:val="0"/>
        <w:w w:val="100"/>
        <w:sz w:val="24"/>
        <w:szCs w:val="24"/>
        <w:lang w:val="es-ES" w:eastAsia="en-US" w:bidi="ar-SA"/>
      </w:rPr>
    </w:lvl>
    <w:lvl w:ilvl="4">
      <w:start w:val="0"/>
      <w:numFmt w:val="bullet"/>
      <w:lvlText w:val="•"/>
      <w:lvlJc w:val="left"/>
      <w:pPr>
        <w:ind w:left="3665" w:hanging="360"/>
      </w:pPr>
      <w:rPr>
        <w:rFonts w:hint="default"/>
        <w:lang w:val="es-ES" w:eastAsia="en-US" w:bidi="ar-SA"/>
      </w:rPr>
    </w:lvl>
    <w:lvl w:ilvl="5">
      <w:start w:val="0"/>
      <w:numFmt w:val="bullet"/>
      <w:lvlText w:val="•"/>
      <w:lvlJc w:val="left"/>
      <w:pPr>
        <w:ind w:left="4708" w:hanging="360"/>
      </w:pPr>
      <w:rPr>
        <w:rFonts w:hint="default"/>
        <w:lang w:val="es-ES" w:eastAsia="en-US" w:bidi="ar-SA"/>
      </w:rPr>
    </w:lvl>
    <w:lvl w:ilvl="6">
      <w:start w:val="0"/>
      <w:numFmt w:val="bullet"/>
      <w:lvlText w:val="•"/>
      <w:lvlJc w:val="left"/>
      <w:pPr>
        <w:ind w:left="5751" w:hanging="360"/>
      </w:pPr>
      <w:rPr>
        <w:rFonts w:hint="default"/>
        <w:lang w:val="es-ES" w:eastAsia="en-US" w:bidi="ar-SA"/>
      </w:rPr>
    </w:lvl>
    <w:lvl w:ilvl="7">
      <w:start w:val="0"/>
      <w:numFmt w:val="bullet"/>
      <w:lvlText w:val="•"/>
      <w:lvlJc w:val="left"/>
      <w:pPr>
        <w:ind w:left="6793" w:hanging="360"/>
      </w:pPr>
      <w:rPr>
        <w:rFonts w:hint="default"/>
        <w:lang w:val="es-ES" w:eastAsia="en-US" w:bidi="ar-SA"/>
      </w:rPr>
    </w:lvl>
    <w:lvl w:ilvl="8">
      <w:start w:val="0"/>
      <w:numFmt w:val="bullet"/>
      <w:lvlText w:val="•"/>
      <w:lvlJc w:val="left"/>
      <w:pPr>
        <w:ind w:left="7836" w:hanging="360"/>
      </w:pPr>
      <w:rPr>
        <w:rFonts w:hint="default"/>
        <w:lang w:val="es-ES" w:eastAsia="en-US" w:bidi="ar-SA"/>
      </w:rPr>
    </w:lvl>
  </w:abstractNum>
  <w:abstractNum w:abstractNumId="6">
    <w:multiLevelType w:val="hybridMultilevel"/>
    <w:lvl w:ilvl="0">
      <w:start w:val="6"/>
      <w:numFmt w:val="decimal"/>
      <w:lvlText w:val="%1"/>
      <w:lvlJc w:val="left"/>
      <w:pPr>
        <w:ind w:left="1523" w:hanging="420"/>
        <w:jc w:val="left"/>
      </w:pPr>
      <w:rPr>
        <w:rFonts w:hint="default"/>
        <w:lang w:val="es-ES" w:eastAsia="en-US" w:bidi="ar-SA"/>
      </w:rPr>
    </w:lvl>
    <w:lvl w:ilvl="1">
      <w:start w:val="1"/>
      <w:numFmt w:val="decimal"/>
      <w:lvlText w:val="%1.%2."/>
      <w:lvlJc w:val="left"/>
      <w:pPr>
        <w:ind w:left="1523" w:hanging="42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0"/>
      <w:numFmt w:val="bullet"/>
      <w:lvlText w:val="•"/>
      <w:lvlJc w:val="left"/>
      <w:pPr>
        <w:ind w:left="3200" w:hanging="420"/>
      </w:pPr>
      <w:rPr>
        <w:rFonts w:hint="default"/>
        <w:lang w:val="es-ES" w:eastAsia="en-US" w:bidi="ar-SA"/>
      </w:rPr>
    </w:lvl>
    <w:lvl w:ilvl="3">
      <w:start w:val="0"/>
      <w:numFmt w:val="bullet"/>
      <w:lvlText w:val="•"/>
      <w:lvlJc w:val="left"/>
      <w:pPr>
        <w:ind w:left="4040" w:hanging="420"/>
      </w:pPr>
      <w:rPr>
        <w:rFonts w:hint="default"/>
        <w:lang w:val="es-ES" w:eastAsia="en-US" w:bidi="ar-SA"/>
      </w:rPr>
    </w:lvl>
    <w:lvl w:ilvl="4">
      <w:start w:val="0"/>
      <w:numFmt w:val="bullet"/>
      <w:lvlText w:val="•"/>
      <w:lvlJc w:val="left"/>
      <w:pPr>
        <w:ind w:left="4880" w:hanging="420"/>
      </w:pPr>
      <w:rPr>
        <w:rFonts w:hint="default"/>
        <w:lang w:val="es-ES" w:eastAsia="en-US" w:bidi="ar-SA"/>
      </w:rPr>
    </w:lvl>
    <w:lvl w:ilvl="5">
      <w:start w:val="0"/>
      <w:numFmt w:val="bullet"/>
      <w:lvlText w:val="•"/>
      <w:lvlJc w:val="left"/>
      <w:pPr>
        <w:ind w:left="5721" w:hanging="420"/>
      </w:pPr>
      <w:rPr>
        <w:rFonts w:hint="default"/>
        <w:lang w:val="es-ES" w:eastAsia="en-US" w:bidi="ar-SA"/>
      </w:rPr>
    </w:lvl>
    <w:lvl w:ilvl="6">
      <w:start w:val="0"/>
      <w:numFmt w:val="bullet"/>
      <w:lvlText w:val="•"/>
      <w:lvlJc w:val="left"/>
      <w:pPr>
        <w:ind w:left="6561" w:hanging="420"/>
      </w:pPr>
      <w:rPr>
        <w:rFonts w:hint="default"/>
        <w:lang w:val="es-ES" w:eastAsia="en-US" w:bidi="ar-SA"/>
      </w:rPr>
    </w:lvl>
    <w:lvl w:ilvl="7">
      <w:start w:val="0"/>
      <w:numFmt w:val="bullet"/>
      <w:lvlText w:val="•"/>
      <w:lvlJc w:val="left"/>
      <w:pPr>
        <w:ind w:left="7401" w:hanging="420"/>
      </w:pPr>
      <w:rPr>
        <w:rFonts w:hint="default"/>
        <w:lang w:val="es-ES" w:eastAsia="en-US" w:bidi="ar-SA"/>
      </w:rPr>
    </w:lvl>
    <w:lvl w:ilvl="8">
      <w:start w:val="0"/>
      <w:numFmt w:val="bullet"/>
      <w:lvlText w:val="•"/>
      <w:lvlJc w:val="left"/>
      <w:pPr>
        <w:ind w:left="8241" w:hanging="420"/>
      </w:pPr>
      <w:rPr>
        <w:rFonts w:hint="default"/>
        <w:lang w:val="es-ES" w:eastAsia="en-US" w:bidi="ar-SA"/>
      </w:rPr>
    </w:lvl>
  </w:abstractNum>
  <w:abstractNum w:abstractNumId="5">
    <w:multiLevelType w:val="hybridMultilevel"/>
    <w:lvl w:ilvl="0">
      <w:start w:val="3"/>
      <w:numFmt w:val="decimal"/>
      <w:lvlText w:val="%1"/>
      <w:lvlJc w:val="left"/>
      <w:pPr>
        <w:ind w:left="1943" w:hanging="600"/>
        <w:jc w:val="left"/>
      </w:pPr>
      <w:rPr>
        <w:rFonts w:hint="default"/>
        <w:lang w:val="es-ES" w:eastAsia="en-US" w:bidi="ar-SA"/>
      </w:rPr>
    </w:lvl>
    <w:lvl w:ilvl="1">
      <w:start w:val="6"/>
      <w:numFmt w:val="decimal"/>
      <w:lvlText w:val="%1.%2"/>
      <w:lvlJc w:val="left"/>
      <w:pPr>
        <w:ind w:left="1943" w:hanging="600"/>
        <w:jc w:val="left"/>
      </w:pPr>
      <w:rPr>
        <w:rFonts w:hint="default"/>
        <w:lang w:val="es-ES" w:eastAsia="en-US" w:bidi="ar-SA"/>
      </w:rPr>
    </w:lvl>
    <w:lvl w:ilvl="2">
      <w:start w:val="1"/>
      <w:numFmt w:val="decimal"/>
      <w:lvlText w:val="%1.%2.%3."/>
      <w:lvlJc w:val="left"/>
      <w:pPr>
        <w:ind w:left="1943" w:hanging="60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4334" w:hanging="600"/>
      </w:pPr>
      <w:rPr>
        <w:rFonts w:hint="default"/>
        <w:lang w:val="es-ES" w:eastAsia="en-US" w:bidi="ar-SA"/>
      </w:rPr>
    </w:lvl>
    <w:lvl w:ilvl="4">
      <w:start w:val="0"/>
      <w:numFmt w:val="bullet"/>
      <w:lvlText w:val="•"/>
      <w:lvlJc w:val="left"/>
      <w:pPr>
        <w:ind w:left="5132" w:hanging="600"/>
      </w:pPr>
      <w:rPr>
        <w:rFonts w:hint="default"/>
        <w:lang w:val="es-ES" w:eastAsia="en-US" w:bidi="ar-SA"/>
      </w:rPr>
    </w:lvl>
    <w:lvl w:ilvl="5">
      <w:start w:val="0"/>
      <w:numFmt w:val="bullet"/>
      <w:lvlText w:val="•"/>
      <w:lvlJc w:val="left"/>
      <w:pPr>
        <w:ind w:left="5931" w:hanging="600"/>
      </w:pPr>
      <w:rPr>
        <w:rFonts w:hint="default"/>
        <w:lang w:val="es-ES" w:eastAsia="en-US" w:bidi="ar-SA"/>
      </w:rPr>
    </w:lvl>
    <w:lvl w:ilvl="6">
      <w:start w:val="0"/>
      <w:numFmt w:val="bullet"/>
      <w:lvlText w:val="•"/>
      <w:lvlJc w:val="left"/>
      <w:pPr>
        <w:ind w:left="6729" w:hanging="600"/>
      </w:pPr>
      <w:rPr>
        <w:rFonts w:hint="default"/>
        <w:lang w:val="es-ES" w:eastAsia="en-US" w:bidi="ar-SA"/>
      </w:rPr>
    </w:lvl>
    <w:lvl w:ilvl="7">
      <w:start w:val="0"/>
      <w:numFmt w:val="bullet"/>
      <w:lvlText w:val="•"/>
      <w:lvlJc w:val="left"/>
      <w:pPr>
        <w:ind w:left="7527" w:hanging="600"/>
      </w:pPr>
      <w:rPr>
        <w:rFonts w:hint="default"/>
        <w:lang w:val="es-ES" w:eastAsia="en-US" w:bidi="ar-SA"/>
      </w:rPr>
    </w:lvl>
    <w:lvl w:ilvl="8">
      <w:start w:val="0"/>
      <w:numFmt w:val="bullet"/>
      <w:lvlText w:val="•"/>
      <w:lvlJc w:val="left"/>
      <w:pPr>
        <w:ind w:left="8325" w:hanging="600"/>
      </w:pPr>
      <w:rPr>
        <w:rFonts w:hint="default"/>
        <w:lang w:val="es-ES" w:eastAsia="en-US" w:bidi="ar-SA"/>
      </w:rPr>
    </w:lvl>
  </w:abstractNum>
  <w:abstractNum w:abstractNumId="4">
    <w:multiLevelType w:val="hybridMultilevel"/>
    <w:lvl w:ilvl="0">
      <w:start w:val="5"/>
      <w:numFmt w:val="decimal"/>
      <w:lvlText w:val="%1"/>
      <w:lvlJc w:val="left"/>
      <w:pPr>
        <w:ind w:left="1523" w:hanging="420"/>
        <w:jc w:val="left"/>
      </w:pPr>
      <w:rPr>
        <w:rFonts w:hint="default"/>
        <w:lang w:val="es-ES" w:eastAsia="en-US" w:bidi="ar-SA"/>
      </w:rPr>
    </w:lvl>
    <w:lvl w:ilvl="1">
      <w:start w:val="1"/>
      <w:numFmt w:val="decimal"/>
      <w:lvlText w:val="%1.%2."/>
      <w:lvlJc w:val="left"/>
      <w:pPr>
        <w:ind w:left="1523" w:hanging="42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1"/>
      <w:numFmt w:val="decimal"/>
      <w:lvlText w:val="%1.%2.%3."/>
      <w:lvlJc w:val="left"/>
      <w:pPr>
        <w:ind w:left="2103" w:hanging="76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3838" w:hanging="760"/>
      </w:pPr>
      <w:rPr>
        <w:rFonts w:hint="default"/>
        <w:lang w:val="es-ES" w:eastAsia="en-US" w:bidi="ar-SA"/>
      </w:rPr>
    </w:lvl>
    <w:lvl w:ilvl="4">
      <w:start w:val="0"/>
      <w:numFmt w:val="bullet"/>
      <w:lvlText w:val="•"/>
      <w:lvlJc w:val="left"/>
      <w:pPr>
        <w:ind w:left="4707" w:hanging="760"/>
      </w:pPr>
      <w:rPr>
        <w:rFonts w:hint="default"/>
        <w:lang w:val="es-ES" w:eastAsia="en-US" w:bidi="ar-SA"/>
      </w:rPr>
    </w:lvl>
    <w:lvl w:ilvl="5">
      <w:start w:val="0"/>
      <w:numFmt w:val="bullet"/>
      <w:lvlText w:val="•"/>
      <w:lvlJc w:val="left"/>
      <w:pPr>
        <w:ind w:left="5576" w:hanging="760"/>
      </w:pPr>
      <w:rPr>
        <w:rFonts w:hint="default"/>
        <w:lang w:val="es-ES" w:eastAsia="en-US" w:bidi="ar-SA"/>
      </w:rPr>
    </w:lvl>
    <w:lvl w:ilvl="6">
      <w:start w:val="0"/>
      <w:numFmt w:val="bullet"/>
      <w:lvlText w:val="•"/>
      <w:lvlJc w:val="left"/>
      <w:pPr>
        <w:ind w:left="6445" w:hanging="760"/>
      </w:pPr>
      <w:rPr>
        <w:rFonts w:hint="default"/>
        <w:lang w:val="es-ES" w:eastAsia="en-US" w:bidi="ar-SA"/>
      </w:rPr>
    </w:lvl>
    <w:lvl w:ilvl="7">
      <w:start w:val="0"/>
      <w:numFmt w:val="bullet"/>
      <w:lvlText w:val="•"/>
      <w:lvlJc w:val="left"/>
      <w:pPr>
        <w:ind w:left="7314" w:hanging="760"/>
      </w:pPr>
      <w:rPr>
        <w:rFonts w:hint="default"/>
        <w:lang w:val="es-ES" w:eastAsia="en-US" w:bidi="ar-SA"/>
      </w:rPr>
    </w:lvl>
    <w:lvl w:ilvl="8">
      <w:start w:val="0"/>
      <w:numFmt w:val="bullet"/>
      <w:lvlText w:val="•"/>
      <w:lvlJc w:val="left"/>
      <w:pPr>
        <w:ind w:left="8183" w:hanging="760"/>
      </w:pPr>
      <w:rPr>
        <w:rFonts w:hint="default"/>
        <w:lang w:val="es-ES" w:eastAsia="en-US" w:bidi="ar-SA"/>
      </w:rPr>
    </w:lvl>
  </w:abstractNum>
  <w:abstractNum w:abstractNumId="3">
    <w:multiLevelType w:val="hybridMultilevel"/>
    <w:lvl w:ilvl="0">
      <w:start w:val="4"/>
      <w:numFmt w:val="decimal"/>
      <w:lvlText w:val="%1"/>
      <w:lvlJc w:val="left"/>
      <w:pPr>
        <w:ind w:left="1523" w:hanging="420"/>
        <w:jc w:val="left"/>
      </w:pPr>
      <w:rPr>
        <w:rFonts w:hint="default"/>
        <w:lang w:val="es-ES" w:eastAsia="en-US" w:bidi="ar-SA"/>
      </w:rPr>
    </w:lvl>
    <w:lvl w:ilvl="1">
      <w:start w:val="1"/>
      <w:numFmt w:val="decimal"/>
      <w:lvlText w:val="%1.%2."/>
      <w:lvlJc w:val="left"/>
      <w:pPr>
        <w:ind w:left="1523" w:hanging="42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0"/>
      <w:numFmt w:val="bullet"/>
      <w:lvlText w:val="•"/>
      <w:lvlJc w:val="left"/>
      <w:pPr>
        <w:ind w:left="3200" w:hanging="420"/>
      </w:pPr>
      <w:rPr>
        <w:rFonts w:hint="default"/>
        <w:lang w:val="es-ES" w:eastAsia="en-US" w:bidi="ar-SA"/>
      </w:rPr>
    </w:lvl>
    <w:lvl w:ilvl="3">
      <w:start w:val="0"/>
      <w:numFmt w:val="bullet"/>
      <w:lvlText w:val="•"/>
      <w:lvlJc w:val="left"/>
      <w:pPr>
        <w:ind w:left="4040" w:hanging="420"/>
      </w:pPr>
      <w:rPr>
        <w:rFonts w:hint="default"/>
        <w:lang w:val="es-ES" w:eastAsia="en-US" w:bidi="ar-SA"/>
      </w:rPr>
    </w:lvl>
    <w:lvl w:ilvl="4">
      <w:start w:val="0"/>
      <w:numFmt w:val="bullet"/>
      <w:lvlText w:val="•"/>
      <w:lvlJc w:val="left"/>
      <w:pPr>
        <w:ind w:left="4880" w:hanging="420"/>
      </w:pPr>
      <w:rPr>
        <w:rFonts w:hint="default"/>
        <w:lang w:val="es-ES" w:eastAsia="en-US" w:bidi="ar-SA"/>
      </w:rPr>
    </w:lvl>
    <w:lvl w:ilvl="5">
      <w:start w:val="0"/>
      <w:numFmt w:val="bullet"/>
      <w:lvlText w:val="•"/>
      <w:lvlJc w:val="left"/>
      <w:pPr>
        <w:ind w:left="5721" w:hanging="420"/>
      </w:pPr>
      <w:rPr>
        <w:rFonts w:hint="default"/>
        <w:lang w:val="es-ES" w:eastAsia="en-US" w:bidi="ar-SA"/>
      </w:rPr>
    </w:lvl>
    <w:lvl w:ilvl="6">
      <w:start w:val="0"/>
      <w:numFmt w:val="bullet"/>
      <w:lvlText w:val="•"/>
      <w:lvlJc w:val="left"/>
      <w:pPr>
        <w:ind w:left="6561" w:hanging="420"/>
      </w:pPr>
      <w:rPr>
        <w:rFonts w:hint="default"/>
        <w:lang w:val="es-ES" w:eastAsia="en-US" w:bidi="ar-SA"/>
      </w:rPr>
    </w:lvl>
    <w:lvl w:ilvl="7">
      <w:start w:val="0"/>
      <w:numFmt w:val="bullet"/>
      <w:lvlText w:val="•"/>
      <w:lvlJc w:val="left"/>
      <w:pPr>
        <w:ind w:left="7401" w:hanging="420"/>
      </w:pPr>
      <w:rPr>
        <w:rFonts w:hint="default"/>
        <w:lang w:val="es-ES" w:eastAsia="en-US" w:bidi="ar-SA"/>
      </w:rPr>
    </w:lvl>
    <w:lvl w:ilvl="8">
      <w:start w:val="0"/>
      <w:numFmt w:val="bullet"/>
      <w:lvlText w:val="•"/>
      <w:lvlJc w:val="left"/>
      <w:pPr>
        <w:ind w:left="8241" w:hanging="420"/>
      </w:pPr>
      <w:rPr>
        <w:rFonts w:hint="default"/>
        <w:lang w:val="es-ES" w:eastAsia="en-US" w:bidi="ar-SA"/>
      </w:rPr>
    </w:lvl>
  </w:abstractNum>
  <w:abstractNum w:abstractNumId="2">
    <w:multiLevelType w:val="hybridMultilevel"/>
    <w:lvl w:ilvl="0">
      <w:start w:val="3"/>
      <w:numFmt w:val="decimal"/>
      <w:lvlText w:val="%1"/>
      <w:lvlJc w:val="left"/>
      <w:pPr>
        <w:ind w:left="1523" w:hanging="420"/>
        <w:jc w:val="left"/>
      </w:pPr>
      <w:rPr>
        <w:rFonts w:hint="default"/>
        <w:lang w:val="es-ES" w:eastAsia="en-US" w:bidi="ar-SA"/>
      </w:rPr>
    </w:lvl>
    <w:lvl w:ilvl="1">
      <w:start w:val="1"/>
      <w:numFmt w:val="decimal"/>
      <w:lvlText w:val="%1.%2."/>
      <w:lvlJc w:val="left"/>
      <w:pPr>
        <w:ind w:left="1523" w:hanging="42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1"/>
      <w:numFmt w:val="decimal"/>
      <w:lvlText w:val="%1.%2.%3."/>
      <w:lvlJc w:val="left"/>
      <w:pPr>
        <w:ind w:left="1943" w:hanging="60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3713" w:hanging="600"/>
      </w:pPr>
      <w:rPr>
        <w:rFonts w:hint="default"/>
        <w:lang w:val="es-ES" w:eastAsia="en-US" w:bidi="ar-SA"/>
      </w:rPr>
    </w:lvl>
    <w:lvl w:ilvl="4">
      <w:start w:val="0"/>
      <w:numFmt w:val="bullet"/>
      <w:lvlText w:val="•"/>
      <w:lvlJc w:val="left"/>
      <w:pPr>
        <w:ind w:left="4600" w:hanging="600"/>
      </w:pPr>
      <w:rPr>
        <w:rFonts w:hint="default"/>
        <w:lang w:val="es-ES" w:eastAsia="en-US" w:bidi="ar-SA"/>
      </w:rPr>
    </w:lvl>
    <w:lvl w:ilvl="5">
      <w:start w:val="0"/>
      <w:numFmt w:val="bullet"/>
      <w:lvlText w:val="•"/>
      <w:lvlJc w:val="left"/>
      <w:pPr>
        <w:ind w:left="5487" w:hanging="600"/>
      </w:pPr>
      <w:rPr>
        <w:rFonts w:hint="default"/>
        <w:lang w:val="es-ES" w:eastAsia="en-US" w:bidi="ar-SA"/>
      </w:rPr>
    </w:lvl>
    <w:lvl w:ilvl="6">
      <w:start w:val="0"/>
      <w:numFmt w:val="bullet"/>
      <w:lvlText w:val="•"/>
      <w:lvlJc w:val="left"/>
      <w:pPr>
        <w:ind w:left="6374" w:hanging="600"/>
      </w:pPr>
      <w:rPr>
        <w:rFonts w:hint="default"/>
        <w:lang w:val="es-ES" w:eastAsia="en-US" w:bidi="ar-SA"/>
      </w:rPr>
    </w:lvl>
    <w:lvl w:ilvl="7">
      <w:start w:val="0"/>
      <w:numFmt w:val="bullet"/>
      <w:lvlText w:val="•"/>
      <w:lvlJc w:val="left"/>
      <w:pPr>
        <w:ind w:left="7261" w:hanging="600"/>
      </w:pPr>
      <w:rPr>
        <w:rFonts w:hint="default"/>
        <w:lang w:val="es-ES" w:eastAsia="en-US" w:bidi="ar-SA"/>
      </w:rPr>
    </w:lvl>
    <w:lvl w:ilvl="8">
      <w:start w:val="0"/>
      <w:numFmt w:val="bullet"/>
      <w:lvlText w:val="•"/>
      <w:lvlJc w:val="left"/>
      <w:pPr>
        <w:ind w:left="8148" w:hanging="600"/>
      </w:pPr>
      <w:rPr>
        <w:rFonts w:hint="default"/>
        <w:lang w:val="es-ES" w:eastAsia="en-US" w:bidi="ar-SA"/>
      </w:rPr>
    </w:lvl>
  </w:abstractNum>
  <w:abstractNum w:abstractNumId="1">
    <w:multiLevelType w:val="hybridMultilevel"/>
    <w:lvl w:ilvl="0">
      <w:start w:val="2"/>
      <w:numFmt w:val="decimal"/>
      <w:lvlText w:val="%1"/>
      <w:lvlJc w:val="left"/>
      <w:pPr>
        <w:ind w:left="1523" w:hanging="420"/>
        <w:jc w:val="left"/>
      </w:pPr>
      <w:rPr>
        <w:rFonts w:hint="default"/>
        <w:lang w:val="es-ES" w:eastAsia="en-US" w:bidi="ar-SA"/>
      </w:rPr>
    </w:lvl>
    <w:lvl w:ilvl="1">
      <w:start w:val="1"/>
      <w:numFmt w:val="decimal"/>
      <w:lvlText w:val="%1.%2."/>
      <w:lvlJc w:val="left"/>
      <w:pPr>
        <w:ind w:left="1523" w:hanging="42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0"/>
      <w:numFmt w:val="bullet"/>
      <w:lvlText w:val="•"/>
      <w:lvlJc w:val="left"/>
      <w:pPr>
        <w:ind w:left="3200" w:hanging="420"/>
      </w:pPr>
      <w:rPr>
        <w:rFonts w:hint="default"/>
        <w:lang w:val="es-ES" w:eastAsia="en-US" w:bidi="ar-SA"/>
      </w:rPr>
    </w:lvl>
    <w:lvl w:ilvl="3">
      <w:start w:val="0"/>
      <w:numFmt w:val="bullet"/>
      <w:lvlText w:val="•"/>
      <w:lvlJc w:val="left"/>
      <w:pPr>
        <w:ind w:left="4040" w:hanging="420"/>
      </w:pPr>
      <w:rPr>
        <w:rFonts w:hint="default"/>
        <w:lang w:val="es-ES" w:eastAsia="en-US" w:bidi="ar-SA"/>
      </w:rPr>
    </w:lvl>
    <w:lvl w:ilvl="4">
      <w:start w:val="0"/>
      <w:numFmt w:val="bullet"/>
      <w:lvlText w:val="•"/>
      <w:lvlJc w:val="left"/>
      <w:pPr>
        <w:ind w:left="4880" w:hanging="420"/>
      </w:pPr>
      <w:rPr>
        <w:rFonts w:hint="default"/>
        <w:lang w:val="es-ES" w:eastAsia="en-US" w:bidi="ar-SA"/>
      </w:rPr>
    </w:lvl>
    <w:lvl w:ilvl="5">
      <w:start w:val="0"/>
      <w:numFmt w:val="bullet"/>
      <w:lvlText w:val="•"/>
      <w:lvlJc w:val="left"/>
      <w:pPr>
        <w:ind w:left="5721" w:hanging="420"/>
      </w:pPr>
      <w:rPr>
        <w:rFonts w:hint="default"/>
        <w:lang w:val="es-ES" w:eastAsia="en-US" w:bidi="ar-SA"/>
      </w:rPr>
    </w:lvl>
    <w:lvl w:ilvl="6">
      <w:start w:val="0"/>
      <w:numFmt w:val="bullet"/>
      <w:lvlText w:val="•"/>
      <w:lvlJc w:val="left"/>
      <w:pPr>
        <w:ind w:left="6561" w:hanging="420"/>
      </w:pPr>
      <w:rPr>
        <w:rFonts w:hint="default"/>
        <w:lang w:val="es-ES" w:eastAsia="en-US" w:bidi="ar-SA"/>
      </w:rPr>
    </w:lvl>
    <w:lvl w:ilvl="7">
      <w:start w:val="0"/>
      <w:numFmt w:val="bullet"/>
      <w:lvlText w:val="•"/>
      <w:lvlJc w:val="left"/>
      <w:pPr>
        <w:ind w:left="7401" w:hanging="420"/>
      </w:pPr>
      <w:rPr>
        <w:rFonts w:hint="default"/>
        <w:lang w:val="es-ES" w:eastAsia="en-US" w:bidi="ar-SA"/>
      </w:rPr>
    </w:lvl>
    <w:lvl w:ilvl="8">
      <w:start w:val="0"/>
      <w:numFmt w:val="bullet"/>
      <w:lvlText w:val="•"/>
      <w:lvlJc w:val="left"/>
      <w:pPr>
        <w:ind w:left="8241" w:hanging="420"/>
      </w:pPr>
      <w:rPr>
        <w:rFonts w:hint="default"/>
        <w:lang w:val="es-ES" w:eastAsia="en-US" w:bidi="ar-SA"/>
      </w:rPr>
    </w:lvl>
  </w:abstractNum>
  <w:abstractNum w:abstractNumId="0">
    <w:multiLevelType w:val="hybridMultilevel"/>
    <w:lvl w:ilvl="0">
      <w:start w:val="1"/>
      <w:numFmt w:val="decimal"/>
      <w:lvlText w:val="%1"/>
      <w:lvlJc w:val="left"/>
      <w:pPr>
        <w:ind w:left="1523" w:hanging="420"/>
        <w:jc w:val="left"/>
      </w:pPr>
      <w:rPr>
        <w:rFonts w:hint="default"/>
        <w:lang w:val="es-ES" w:eastAsia="en-US" w:bidi="ar-SA"/>
      </w:rPr>
    </w:lvl>
    <w:lvl w:ilvl="1">
      <w:start w:val="1"/>
      <w:numFmt w:val="decimal"/>
      <w:lvlText w:val="%1.%2."/>
      <w:lvlJc w:val="left"/>
      <w:pPr>
        <w:ind w:left="1523" w:hanging="42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1"/>
      <w:numFmt w:val="decimal"/>
      <w:lvlText w:val="%1.%2.%3."/>
      <w:lvlJc w:val="left"/>
      <w:pPr>
        <w:ind w:left="1943" w:hanging="60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3713" w:hanging="600"/>
      </w:pPr>
      <w:rPr>
        <w:rFonts w:hint="default"/>
        <w:lang w:val="es-ES" w:eastAsia="en-US" w:bidi="ar-SA"/>
      </w:rPr>
    </w:lvl>
    <w:lvl w:ilvl="4">
      <w:start w:val="0"/>
      <w:numFmt w:val="bullet"/>
      <w:lvlText w:val="•"/>
      <w:lvlJc w:val="left"/>
      <w:pPr>
        <w:ind w:left="4600" w:hanging="600"/>
      </w:pPr>
      <w:rPr>
        <w:rFonts w:hint="default"/>
        <w:lang w:val="es-ES" w:eastAsia="en-US" w:bidi="ar-SA"/>
      </w:rPr>
    </w:lvl>
    <w:lvl w:ilvl="5">
      <w:start w:val="0"/>
      <w:numFmt w:val="bullet"/>
      <w:lvlText w:val="•"/>
      <w:lvlJc w:val="left"/>
      <w:pPr>
        <w:ind w:left="5487" w:hanging="600"/>
      </w:pPr>
      <w:rPr>
        <w:rFonts w:hint="default"/>
        <w:lang w:val="es-ES" w:eastAsia="en-US" w:bidi="ar-SA"/>
      </w:rPr>
    </w:lvl>
    <w:lvl w:ilvl="6">
      <w:start w:val="0"/>
      <w:numFmt w:val="bullet"/>
      <w:lvlText w:val="•"/>
      <w:lvlJc w:val="left"/>
      <w:pPr>
        <w:ind w:left="6374" w:hanging="600"/>
      </w:pPr>
      <w:rPr>
        <w:rFonts w:hint="default"/>
        <w:lang w:val="es-ES" w:eastAsia="en-US" w:bidi="ar-SA"/>
      </w:rPr>
    </w:lvl>
    <w:lvl w:ilvl="7">
      <w:start w:val="0"/>
      <w:numFmt w:val="bullet"/>
      <w:lvlText w:val="•"/>
      <w:lvlJc w:val="left"/>
      <w:pPr>
        <w:ind w:left="7261" w:hanging="600"/>
      </w:pPr>
      <w:rPr>
        <w:rFonts w:hint="default"/>
        <w:lang w:val="es-ES" w:eastAsia="en-US" w:bidi="ar-SA"/>
      </w:rPr>
    </w:lvl>
    <w:lvl w:ilvl="8">
      <w:start w:val="0"/>
      <w:numFmt w:val="bullet"/>
      <w:lvlText w:val="•"/>
      <w:lvlJc w:val="left"/>
      <w:pPr>
        <w:ind w:left="8148" w:hanging="600"/>
      </w:pPr>
      <w:rPr>
        <w:rFonts w:hint="default"/>
        <w:lang w:val="es-ES" w:eastAsia="en-US" w:bidi="ar-SA"/>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TOC1" w:type="paragraph">
    <w:name w:val="TOC 1"/>
    <w:basedOn w:val="Normal"/>
    <w:uiPriority w:val="1"/>
    <w:qFormat/>
    <w:pPr>
      <w:spacing w:before="376"/>
      <w:ind w:left="-1" w:right="122"/>
      <w:jc w:val="center"/>
    </w:pPr>
    <w:rPr>
      <w:rFonts w:ascii="Times New Roman" w:hAnsi="Times New Roman" w:eastAsia="Times New Roman" w:cs="Times New Roman"/>
      <w:b/>
      <w:bCs/>
      <w:sz w:val="24"/>
      <w:szCs w:val="24"/>
      <w:lang w:val="es-ES" w:eastAsia="en-US" w:bidi="ar-SA"/>
    </w:rPr>
  </w:style>
  <w:style w:styleId="TOC2" w:type="paragraph">
    <w:name w:val="TOC 2"/>
    <w:basedOn w:val="Normal"/>
    <w:uiPriority w:val="1"/>
    <w:qFormat/>
    <w:pPr>
      <w:spacing w:before="68"/>
      <w:ind w:left="720" w:right="846"/>
      <w:jc w:val="center"/>
    </w:pPr>
    <w:rPr>
      <w:rFonts w:ascii="Times New Roman" w:hAnsi="Times New Roman" w:eastAsia="Times New Roman" w:cs="Times New Roman"/>
      <w:b/>
      <w:bCs/>
      <w:sz w:val="24"/>
      <w:szCs w:val="24"/>
      <w:lang w:val="es-ES" w:eastAsia="en-US" w:bidi="ar-SA"/>
    </w:rPr>
  </w:style>
  <w:style w:styleId="TOC3" w:type="paragraph">
    <w:name w:val="TOC 3"/>
    <w:basedOn w:val="Normal"/>
    <w:uiPriority w:val="1"/>
    <w:qFormat/>
    <w:pPr>
      <w:spacing w:before="276"/>
      <w:ind w:left="863"/>
    </w:pPr>
    <w:rPr>
      <w:rFonts w:ascii="Times New Roman" w:hAnsi="Times New Roman" w:eastAsia="Times New Roman" w:cs="Times New Roman"/>
      <w:b/>
      <w:bCs/>
      <w:sz w:val="24"/>
      <w:szCs w:val="24"/>
      <w:lang w:val="es-ES" w:eastAsia="en-US" w:bidi="ar-SA"/>
    </w:rPr>
  </w:style>
  <w:style w:styleId="TOC4" w:type="paragraph">
    <w:name w:val="TOC 4"/>
    <w:basedOn w:val="Normal"/>
    <w:uiPriority w:val="1"/>
    <w:qFormat/>
    <w:pPr>
      <w:spacing w:before="276"/>
      <w:ind w:left="863"/>
    </w:pPr>
    <w:rPr>
      <w:rFonts w:ascii="Times New Roman" w:hAnsi="Times New Roman" w:eastAsia="Times New Roman" w:cs="Times New Roman"/>
      <w:b/>
      <w:bCs/>
      <w:sz w:val="24"/>
      <w:szCs w:val="24"/>
      <w:lang w:val="es-ES" w:eastAsia="en-US" w:bidi="ar-SA"/>
    </w:rPr>
  </w:style>
  <w:style w:styleId="TOC5" w:type="paragraph">
    <w:name w:val="TOC 5"/>
    <w:basedOn w:val="Normal"/>
    <w:uiPriority w:val="1"/>
    <w:qFormat/>
    <w:pPr>
      <w:spacing w:before="376"/>
      <w:ind w:left="1523" w:hanging="420"/>
    </w:pPr>
    <w:rPr>
      <w:rFonts w:ascii="Times New Roman" w:hAnsi="Times New Roman" w:eastAsia="Times New Roman" w:cs="Times New Roman"/>
      <w:sz w:val="24"/>
      <w:szCs w:val="24"/>
      <w:lang w:val="es-ES" w:eastAsia="en-US" w:bidi="ar-SA"/>
    </w:rPr>
  </w:style>
  <w:style w:styleId="TOC6" w:type="paragraph">
    <w:name w:val="TOC 6"/>
    <w:basedOn w:val="Normal"/>
    <w:uiPriority w:val="1"/>
    <w:qFormat/>
    <w:pPr>
      <w:spacing w:before="376"/>
      <w:ind w:left="1943" w:hanging="600"/>
    </w:pPr>
    <w:rPr>
      <w:rFonts w:ascii="Times New Roman" w:hAnsi="Times New Roman" w:eastAsia="Times New Roman" w:cs="Times New Roman"/>
      <w:sz w:val="24"/>
      <w:szCs w:val="24"/>
      <w:lang w:val="es-ES" w:eastAsia="en-US" w:bidi="ar-SA"/>
    </w:rPr>
  </w:style>
  <w:style w:styleId="TOC7" w:type="paragraph">
    <w:name w:val="TOC 7"/>
    <w:basedOn w:val="Normal"/>
    <w:uiPriority w:val="1"/>
    <w:qFormat/>
    <w:pPr>
      <w:spacing w:before="376"/>
      <w:ind w:left="3493" w:right="3618"/>
      <w:jc w:val="center"/>
    </w:pPr>
    <w:rPr>
      <w:rFonts w:ascii="Times New Roman" w:hAnsi="Times New Roman" w:eastAsia="Times New Roman" w:cs="Times New Roman"/>
      <w:b/>
      <w:bCs/>
      <w:sz w:val="24"/>
      <w:szCs w:val="24"/>
      <w:lang w:val="es-ES" w:eastAsia="en-US" w:bidi="ar-SA"/>
    </w:rPr>
  </w:style>
  <w:style w:styleId="TOC8" w:type="paragraph">
    <w:name w:val="TOC 8"/>
    <w:basedOn w:val="Normal"/>
    <w:uiPriority w:val="1"/>
    <w:qFormat/>
    <w:pPr>
      <w:spacing w:before="276"/>
      <w:ind w:left="4013" w:right="4140" w:firstLine="4"/>
      <w:jc w:val="center"/>
    </w:pPr>
    <w:rPr>
      <w:rFonts w:ascii="Times New Roman" w:hAnsi="Times New Roman" w:eastAsia="Times New Roman" w:cs="Times New Roman"/>
      <w:b/>
      <w:bCs/>
      <w:sz w:val="24"/>
      <w:szCs w:val="24"/>
      <w:lang w:val="es-ES" w:eastAsia="en-US" w:bidi="ar-SA"/>
    </w:rPr>
  </w:style>
  <w:style w:styleId="TOC9" w:type="paragraph">
    <w:name w:val="TOC 9"/>
    <w:basedOn w:val="Normal"/>
    <w:uiPriority w:val="1"/>
    <w:qFormat/>
    <w:pPr>
      <w:spacing w:before="376"/>
      <w:ind w:left="3269" w:right="2626" w:firstLine="830"/>
    </w:pPr>
    <w:rPr>
      <w:rFonts w:ascii="Times New Roman" w:hAnsi="Times New Roman" w:eastAsia="Times New Roman" w:cs="Times New Roman"/>
      <w:b/>
      <w:bCs/>
      <w:sz w:val="24"/>
      <w:szCs w:val="24"/>
      <w:lang w:val="es-E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s-ES" w:eastAsia="en-US" w:bidi="ar-SA"/>
    </w:rPr>
  </w:style>
  <w:style w:styleId="Heading1" w:type="paragraph">
    <w:name w:val="Heading 1"/>
    <w:basedOn w:val="Normal"/>
    <w:uiPriority w:val="1"/>
    <w:qFormat/>
    <w:pPr>
      <w:ind w:left="-1" w:right="138"/>
      <w:jc w:val="center"/>
      <w:outlineLvl w:val="1"/>
    </w:pPr>
    <w:rPr>
      <w:rFonts w:ascii="Arial" w:hAnsi="Arial" w:eastAsia="Arial" w:cs="Arial"/>
      <w:b/>
      <w:bCs/>
      <w:sz w:val="28"/>
      <w:szCs w:val="28"/>
      <w:lang w:val="es-ES" w:eastAsia="en-US" w:bidi="ar-SA"/>
    </w:rPr>
  </w:style>
  <w:style w:styleId="Heading2" w:type="paragraph">
    <w:name w:val="Heading 2"/>
    <w:basedOn w:val="Normal"/>
    <w:uiPriority w:val="1"/>
    <w:qFormat/>
    <w:pPr>
      <w:ind w:left="-1"/>
      <w:jc w:val="center"/>
      <w:outlineLvl w:val="2"/>
    </w:pPr>
    <w:rPr>
      <w:rFonts w:ascii="Times New Roman" w:hAnsi="Times New Roman" w:eastAsia="Times New Roman" w:cs="Times New Roman"/>
      <w:b/>
      <w:bCs/>
      <w:sz w:val="24"/>
      <w:szCs w:val="24"/>
      <w:lang w:val="es-ES" w:eastAsia="en-US" w:bidi="ar-SA"/>
    </w:rPr>
  </w:style>
  <w:style w:styleId="Heading3" w:type="paragraph">
    <w:name w:val="Heading 3"/>
    <w:basedOn w:val="Normal"/>
    <w:uiPriority w:val="1"/>
    <w:qFormat/>
    <w:pPr>
      <w:ind w:left="568"/>
      <w:outlineLvl w:val="3"/>
    </w:pPr>
    <w:rPr>
      <w:rFonts w:ascii="Times New Roman" w:hAnsi="Times New Roman" w:eastAsia="Times New Roman" w:cs="Times New Roman"/>
      <w:b/>
      <w:bCs/>
      <w:sz w:val="24"/>
      <w:szCs w:val="24"/>
      <w:lang w:val="es-ES" w:eastAsia="en-US" w:bidi="ar-SA"/>
    </w:rPr>
  </w:style>
  <w:style w:styleId="Heading4" w:type="paragraph">
    <w:name w:val="Heading 4"/>
    <w:basedOn w:val="Normal"/>
    <w:uiPriority w:val="1"/>
    <w:qFormat/>
    <w:pPr>
      <w:ind w:left="1033" w:hanging="606"/>
      <w:jc w:val="both"/>
      <w:outlineLvl w:val="4"/>
    </w:pPr>
    <w:rPr>
      <w:rFonts w:ascii="Times New Roman" w:hAnsi="Times New Roman" w:eastAsia="Times New Roman" w:cs="Times New Roman"/>
      <w:b/>
      <w:bCs/>
      <w:i/>
      <w:iCs/>
      <w:sz w:val="24"/>
      <w:szCs w:val="24"/>
      <w:lang w:val="es-ES" w:eastAsia="en-US" w:bidi="ar-SA"/>
    </w:rPr>
  </w:style>
  <w:style w:styleId="Title" w:type="paragraph">
    <w:name w:val="Title"/>
    <w:basedOn w:val="Normal"/>
    <w:uiPriority w:val="1"/>
    <w:qFormat/>
    <w:pPr>
      <w:spacing w:before="142"/>
    </w:pPr>
    <w:rPr>
      <w:rFonts w:ascii="Arial MT" w:hAnsi="Arial MT" w:eastAsia="Arial MT" w:cs="Arial MT"/>
      <w:sz w:val="108"/>
      <w:szCs w:val="108"/>
      <w:lang w:val="es-ES" w:eastAsia="en-US" w:bidi="ar-SA"/>
    </w:rPr>
  </w:style>
  <w:style w:styleId="ListParagraph" w:type="paragraph">
    <w:name w:val="List Paragraph"/>
    <w:basedOn w:val="Normal"/>
    <w:uiPriority w:val="1"/>
    <w:qFormat/>
    <w:pPr>
      <w:ind w:left="1523" w:hanging="360"/>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rPr>
      <w:rFonts w:ascii="Arial MT" w:hAnsi="Arial MT" w:eastAsia="Arial MT" w:cs="Arial MT"/>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hyperlink" Target="http://www.coursehero.com/" TargetMode="External"/><Relationship Id="rId14" Type="http://schemas.openxmlformats.org/officeDocument/2006/relationships/image" Target="media/image9.jpeg"/><Relationship Id="rId15" Type="http://schemas.openxmlformats.org/officeDocument/2006/relationships/image" Target="media/image10.jpeg"/><Relationship Id="rId16" Type="http://schemas.openxmlformats.org/officeDocument/2006/relationships/image" Target="media/image11.jpeg"/><Relationship Id="rId17" Type="http://schemas.openxmlformats.org/officeDocument/2006/relationships/image" Target="media/image12.jpeg"/><Relationship Id="rId18" Type="http://schemas.openxmlformats.org/officeDocument/2006/relationships/header" Target="header1.xml"/><Relationship Id="rId19" Type="http://schemas.openxmlformats.org/officeDocument/2006/relationships/footer" Target="footer1.xml"/><Relationship Id="rId20" Type="http://schemas.openxmlformats.org/officeDocument/2006/relationships/header" Target="header2.xml"/><Relationship Id="rId21" Type="http://schemas.openxmlformats.org/officeDocument/2006/relationships/footer" Target="footer2.xml"/><Relationship Id="rId22" Type="http://schemas.openxmlformats.org/officeDocument/2006/relationships/header" Target="header3.xml"/><Relationship Id="rId23" Type="http://schemas.openxmlformats.org/officeDocument/2006/relationships/footer" Target="footer3.xml"/><Relationship Id="rId24" Type="http://schemas.openxmlformats.org/officeDocument/2006/relationships/header" Target="header4.xml"/><Relationship Id="rId25" Type="http://schemas.openxmlformats.org/officeDocument/2006/relationships/footer" Target="footer4.xml"/><Relationship Id="rId26" Type="http://schemas.openxmlformats.org/officeDocument/2006/relationships/header" Target="header5.xml"/><Relationship Id="rId27" Type="http://schemas.openxmlformats.org/officeDocument/2006/relationships/footer" Target="footer5.xml"/><Relationship Id="rId28" Type="http://schemas.openxmlformats.org/officeDocument/2006/relationships/header" Target="header6.xml"/><Relationship Id="rId29" Type="http://schemas.openxmlformats.org/officeDocument/2006/relationships/footer" Target="footer6.xml"/><Relationship Id="rId30" Type="http://schemas.openxmlformats.org/officeDocument/2006/relationships/header" Target="header7.xml"/><Relationship Id="rId31" Type="http://schemas.openxmlformats.org/officeDocument/2006/relationships/footer" Target="footer7.xml"/><Relationship Id="rId32" Type="http://schemas.openxmlformats.org/officeDocument/2006/relationships/header" Target="header8.xml"/><Relationship Id="rId33" Type="http://schemas.openxmlformats.org/officeDocument/2006/relationships/footer" Target="footer8.xml"/><Relationship Id="rId34" Type="http://schemas.openxmlformats.org/officeDocument/2006/relationships/header" Target="header9.xml"/><Relationship Id="rId35" Type="http://schemas.openxmlformats.org/officeDocument/2006/relationships/footer" Target="footer9.xml"/><Relationship Id="rId36" Type="http://schemas.openxmlformats.org/officeDocument/2006/relationships/header" Target="header10.xml"/><Relationship Id="rId37" Type="http://schemas.openxmlformats.org/officeDocument/2006/relationships/footer" Target="footer10.xml"/><Relationship Id="rId38" Type="http://schemas.openxmlformats.org/officeDocument/2006/relationships/header" Target="header11.xml"/><Relationship Id="rId39" Type="http://schemas.openxmlformats.org/officeDocument/2006/relationships/footer" Target="footer11.xml"/><Relationship Id="rId40" Type="http://schemas.openxmlformats.org/officeDocument/2006/relationships/header" Target="header12.xml"/><Relationship Id="rId41" Type="http://schemas.openxmlformats.org/officeDocument/2006/relationships/footer" Target="footer12.xml"/><Relationship Id="rId42" Type="http://schemas.openxmlformats.org/officeDocument/2006/relationships/header" Target="header13.xml"/><Relationship Id="rId43" Type="http://schemas.openxmlformats.org/officeDocument/2006/relationships/footer" Target="footer13.xml"/><Relationship Id="rId44" Type="http://schemas.openxmlformats.org/officeDocument/2006/relationships/header" Target="header14.xml"/><Relationship Id="rId45" Type="http://schemas.openxmlformats.org/officeDocument/2006/relationships/footer" Target="footer14.xml"/><Relationship Id="rId46" Type="http://schemas.openxmlformats.org/officeDocument/2006/relationships/header" Target="header15.xml"/><Relationship Id="rId47" Type="http://schemas.openxmlformats.org/officeDocument/2006/relationships/footer" Target="footer15.xml"/><Relationship Id="rId48" Type="http://schemas.openxmlformats.org/officeDocument/2006/relationships/header" Target="header16.xml"/><Relationship Id="rId49" Type="http://schemas.openxmlformats.org/officeDocument/2006/relationships/footer" Target="footer16.xml"/><Relationship Id="rId50" Type="http://schemas.openxmlformats.org/officeDocument/2006/relationships/image" Target="media/image13.png"/><Relationship Id="rId51" Type="http://schemas.openxmlformats.org/officeDocument/2006/relationships/header" Target="header17.xml"/><Relationship Id="rId52" Type="http://schemas.openxmlformats.org/officeDocument/2006/relationships/footer" Target="footer17.xml"/><Relationship Id="rId53" Type="http://schemas.openxmlformats.org/officeDocument/2006/relationships/header" Target="header18.xml"/><Relationship Id="rId54" Type="http://schemas.openxmlformats.org/officeDocument/2006/relationships/footer" Target="footer18.xml"/><Relationship Id="rId55" Type="http://schemas.openxmlformats.org/officeDocument/2006/relationships/header" Target="header19.xml"/><Relationship Id="rId56" Type="http://schemas.openxmlformats.org/officeDocument/2006/relationships/footer" Target="footer19.xml"/><Relationship Id="rId57" Type="http://schemas.openxmlformats.org/officeDocument/2006/relationships/header" Target="header20.xml"/><Relationship Id="rId58" Type="http://schemas.openxmlformats.org/officeDocument/2006/relationships/footer" Target="footer20.xml"/><Relationship Id="rId59" Type="http://schemas.openxmlformats.org/officeDocument/2006/relationships/header" Target="header21.xml"/><Relationship Id="rId60" Type="http://schemas.openxmlformats.org/officeDocument/2006/relationships/footer" Target="footer21.xml"/><Relationship Id="rId61" Type="http://schemas.openxmlformats.org/officeDocument/2006/relationships/image" Target="media/image14.png"/><Relationship Id="rId62" Type="http://schemas.openxmlformats.org/officeDocument/2006/relationships/image" Target="media/image15.png"/><Relationship Id="rId63" Type="http://schemas.openxmlformats.org/officeDocument/2006/relationships/image" Target="media/image16.png"/><Relationship Id="rId64" Type="http://schemas.openxmlformats.org/officeDocument/2006/relationships/header" Target="header22.xml"/><Relationship Id="rId65" Type="http://schemas.openxmlformats.org/officeDocument/2006/relationships/footer" Target="footer22.xml"/><Relationship Id="rId66" Type="http://schemas.openxmlformats.org/officeDocument/2006/relationships/image" Target="media/image17.png"/><Relationship Id="rId67" Type="http://schemas.openxmlformats.org/officeDocument/2006/relationships/image" Target="media/image18.png"/><Relationship Id="rId68" Type="http://schemas.openxmlformats.org/officeDocument/2006/relationships/header" Target="header23.xml"/><Relationship Id="rId69" Type="http://schemas.openxmlformats.org/officeDocument/2006/relationships/footer" Target="footer23.xml"/><Relationship Id="rId70" Type="http://schemas.openxmlformats.org/officeDocument/2006/relationships/header" Target="header24.xml"/><Relationship Id="rId71" Type="http://schemas.openxmlformats.org/officeDocument/2006/relationships/footer" Target="footer24.xml"/><Relationship Id="rId72" Type="http://schemas.openxmlformats.org/officeDocument/2006/relationships/hyperlink" Target="https://doi.org/10.12345/xyz123" TargetMode="External"/><Relationship Id="rId73" Type="http://schemas.openxmlformats.org/officeDocument/2006/relationships/hyperlink" Target="https://doi.org/10.2307/1879431" TargetMode="External"/><Relationship Id="rId74" Type="http://schemas.openxmlformats.org/officeDocument/2006/relationships/hyperlink" Target="http://hdl.handle.net/20.500.12894/10489" TargetMode="External"/><Relationship Id="rId75" Type="http://schemas.openxmlformats.org/officeDocument/2006/relationships/hyperlink" Target="https://doi.org/10.1257/pol.20200342" TargetMode="External"/><Relationship Id="rId76" Type="http://schemas.openxmlformats.org/officeDocument/2006/relationships/hyperlink" Target="https://repositorio.ucv.edu.pe/handle/20.500.12692/96991" TargetMode="External"/><Relationship Id="rId77" Type="http://schemas.openxmlformats.org/officeDocument/2006/relationships/hyperlink" Target="https://doi.org/10.1111/ijcs.12553" TargetMode="External"/><Relationship Id="rId78" Type="http://schemas.openxmlformats.org/officeDocument/2006/relationships/hyperlink" Target="https://hdl.handle.net/20.500.12692/84732" TargetMode="External"/><Relationship Id="rId79" Type="http://schemas.openxmlformats.org/officeDocument/2006/relationships/hyperlink" Target="https://doi.org/10.2307/1914185" TargetMode="External"/><Relationship Id="rId80" Type="http://schemas.openxmlformats.org/officeDocument/2006/relationships/hyperlink" Target="https://hdl.handle.net/20.500.12692/126714" TargetMode="External"/><Relationship Id="rId81" Type="http://schemas.openxmlformats.org/officeDocument/2006/relationships/hyperlink" Target="https://doi.org/10.1016/j.jfineco.2018.02.007" TargetMode="External"/><Relationship Id="rId82" Type="http://schemas.openxmlformats.org/officeDocument/2006/relationships/hyperlink" Target="https://hdl.handle.net/20.500.12672/11780" TargetMode="External"/><Relationship Id="rId83" Type="http://schemas.openxmlformats.org/officeDocument/2006/relationships/hyperlink" Target="https://hdl.handle.net/20.500.12773/17739" TargetMode="External"/><Relationship Id="rId84" Type="http://schemas.openxmlformats.org/officeDocument/2006/relationships/hyperlink" Target="https://hdl.handle.net/20.500.12848/4591" TargetMode="External"/><Relationship Id="rId85" Type="http://schemas.openxmlformats.org/officeDocument/2006/relationships/hyperlink" Target="https://hdl.handle.net/20.500.12990/12149" TargetMode="External"/><Relationship Id="rId86" Type="http://schemas.openxmlformats.org/officeDocument/2006/relationships/hyperlink" Target="https://doi.org/10.1016/j.joep.2019.102113" TargetMode="External"/><Relationship Id="rId87" Type="http://schemas.openxmlformats.org/officeDocument/2006/relationships/hyperlink" Target="https://hdl.handle.net/20.500.12952/5332" TargetMode="External"/><Relationship Id="rId88" Type="http://schemas.openxmlformats.org/officeDocument/2006/relationships/hyperlink" Target="https://www.sunat.gob.pe/" TargetMode="External"/><Relationship Id="rId89" Type="http://schemas.openxmlformats.org/officeDocument/2006/relationships/hyperlink" Target="https://hdl.handle.net/20.500.12990/12216" TargetMode="External"/><Relationship Id="rId90" Type="http://schemas.openxmlformats.org/officeDocument/2006/relationships/header" Target="header25.xml"/><Relationship Id="rId91" Type="http://schemas.openxmlformats.org/officeDocument/2006/relationships/footer" Target="footer25.xml"/><Relationship Id="rId92" Type="http://schemas.openxmlformats.org/officeDocument/2006/relationships/header" Target="header26.xml"/><Relationship Id="rId93" Type="http://schemas.openxmlformats.org/officeDocument/2006/relationships/footer" Target="footer26.xml"/><Relationship Id="rId94" Type="http://schemas.openxmlformats.org/officeDocument/2006/relationships/header" Target="header27.xml"/><Relationship Id="rId95" Type="http://schemas.openxmlformats.org/officeDocument/2006/relationships/footer" Target="footer27.xml"/><Relationship Id="rId96" Type="http://schemas.openxmlformats.org/officeDocument/2006/relationships/image" Target="media/image19.jpeg"/><Relationship Id="rId97" Type="http://schemas.openxmlformats.org/officeDocument/2006/relationships/image" Target="media/image20.jpeg"/><Relationship Id="rId98" Type="http://schemas.openxmlformats.org/officeDocument/2006/relationships/header" Target="header28.xml"/><Relationship Id="rId99" Type="http://schemas.openxmlformats.org/officeDocument/2006/relationships/footer" Target="footer28.xml"/><Relationship Id="rId100" Type="http://schemas.openxmlformats.org/officeDocument/2006/relationships/image" Target="media/image21.jpeg"/><Relationship Id="rId101" Type="http://schemas.openxmlformats.org/officeDocument/2006/relationships/image" Target="media/image22.jpeg"/><Relationship Id="rId102" Type="http://schemas.openxmlformats.org/officeDocument/2006/relationships/header" Target="header29.xml"/><Relationship Id="rId103" Type="http://schemas.openxmlformats.org/officeDocument/2006/relationships/footer" Target="footer29.xml"/><Relationship Id="rId104" Type="http://schemas.openxmlformats.org/officeDocument/2006/relationships/image" Target="media/image23.jpeg"/><Relationship Id="rId105" Type="http://schemas.openxmlformats.org/officeDocument/2006/relationships/image" Target="media/image24.jpeg"/><Relationship Id="rId106" Type="http://schemas.openxmlformats.org/officeDocument/2006/relationships/header" Target="header30.xml"/><Relationship Id="rId107" Type="http://schemas.openxmlformats.org/officeDocument/2006/relationships/footer" Target="footer30.xml"/><Relationship Id="rId108" Type="http://schemas.openxmlformats.org/officeDocument/2006/relationships/image" Target="media/image25.jpeg"/><Relationship Id="rId109" Type="http://schemas.openxmlformats.org/officeDocument/2006/relationships/header" Target="header31.xml"/><Relationship Id="rId110" Type="http://schemas.openxmlformats.org/officeDocument/2006/relationships/footer" Target="footer31.xml"/><Relationship Id="rId111" Type="http://schemas.openxmlformats.org/officeDocument/2006/relationships/image" Target="media/image26.jpeg"/><Relationship Id="rId112" Type="http://schemas.openxmlformats.org/officeDocument/2006/relationships/header" Target="header32.xml"/><Relationship Id="rId113" Type="http://schemas.openxmlformats.org/officeDocument/2006/relationships/footer" Target="footer32.xml"/><Relationship Id="rId114" Type="http://schemas.openxmlformats.org/officeDocument/2006/relationships/image" Target="media/image27.jpeg"/><Relationship Id="rId115" Type="http://schemas.openxmlformats.org/officeDocument/2006/relationships/header" Target="header33.xml"/><Relationship Id="rId116" Type="http://schemas.openxmlformats.org/officeDocument/2006/relationships/footer" Target="footer33.xml"/><Relationship Id="rId117" Type="http://schemas.openxmlformats.org/officeDocument/2006/relationships/image" Target="media/image28.jpeg"/><Relationship Id="rId118" Type="http://schemas.openxmlformats.org/officeDocument/2006/relationships/header" Target="header34.xml"/><Relationship Id="rId119" Type="http://schemas.openxmlformats.org/officeDocument/2006/relationships/footer" Target="footer34.xml"/><Relationship Id="rId120" Type="http://schemas.openxmlformats.org/officeDocument/2006/relationships/image" Target="media/image29.jpeg"/><Relationship Id="rId121"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10.xml.rels><?xml version="1.0" encoding="UTF-8" standalone="yes"?>
<Relationships xmlns="http://schemas.openxmlformats.org/package/2006/relationships"><Relationship Id="rId1" Type="http://schemas.openxmlformats.org/officeDocument/2006/relationships/image" Target="media/image2.jpeg"/></Relationships>

</file>

<file path=word/_rels/footer11.xml.rels><?xml version="1.0" encoding="UTF-8" standalone="yes"?>
<Relationships xmlns="http://schemas.openxmlformats.org/package/2006/relationships"><Relationship Id="rId1" Type="http://schemas.openxmlformats.org/officeDocument/2006/relationships/image" Target="media/image2.jpeg"/></Relationships>

</file>

<file path=word/_rels/footer12.xml.rels><?xml version="1.0" encoding="UTF-8" standalone="yes"?>
<Relationships xmlns="http://schemas.openxmlformats.org/package/2006/relationships"><Relationship Id="rId1" Type="http://schemas.openxmlformats.org/officeDocument/2006/relationships/image" Target="media/image2.jpeg"/></Relationships>

</file>

<file path=word/_rels/footer13.xml.rels><?xml version="1.0" encoding="UTF-8" standalone="yes"?>
<Relationships xmlns="http://schemas.openxmlformats.org/package/2006/relationships"><Relationship Id="rId1" Type="http://schemas.openxmlformats.org/officeDocument/2006/relationships/image" Target="media/image2.jpeg"/></Relationships>

</file>

<file path=word/_rels/footer14.xml.rels><?xml version="1.0" encoding="UTF-8" standalone="yes"?>
<Relationships xmlns="http://schemas.openxmlformats.org/package/2006/relationships"><Relationship Id="rId1" Type="http://schemas.openxmlformats.org/officeDocument/2006/relationships/image" Target="media/image2.jpeg"/></Relationships>

</file>

<file path=word/_rels/footer15.xml.rels><?xml version="1.0" encoding="UTF-8" standalone="yes"?>
<Relationships xmlns="http://schemas.openxmlformats.org/package/2006/relationships"><Relationship Id="rId1" Type="http://schemas.openxmlformats.org/officeDocument/2006/relationships/image" Target="media/image2.jpeg"/></Relationships>

</file>

<file path=word/_rels/footer16.xml.rels><?xml version="1.0" encoding="UTF-8" standalone="yes"?>
<Relationships xmlns="http://schemas.openxmlformats.org/package/2006/relationships"><Relationship Id="rId1" Type="http://schemas.openxmlformats.org/officeDocument/2006/relationships/image" Target="media/image2.jpeg"/></Relationships>

</file>

<file path=word/_rels/footer17.xml.rels><?xml version="1.0" encoding="UTF-8" standalone="yes"?>
<Relationships xmlns="http://schemas.openxmlformats.org/package/2006/relationships"><Relationship Id="rId1" Type="http://schemas.openxmlformats.org/officeDocument/2006/relationships/image" Target="media/image2.jpeg"/></Relationships>

</file>

<file path=word/_rels/footer18.xml.rels><?xml version="1.0" encoding="UTF-8" standalone="yes"?>
<Relationships xmlns="http://schemas.openxmlformats.org/package/2006/relationships"><Relationship Id="rId1" Type="http://schemas.openxmlformats.org/officeDocument/2006/relationships/image" Target="media/image2.jpeg"/></Relationships>

</file>

<file path=word/_rels/footer19.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footer20.xml.rels><?xml version="1.0" encoding="UTF-8" standalone="yes"?>
<Relationships xmlns="http://schemas.openxmlformats.org/package/2006/relationships"><Relationship Id="rId1" Type="http://schemas.openxmlformats.org/officeDocument/2006/relationships/image" Target="media/image2.jpeg"/></Relationships>

</file>

<file path=word/_rels/footer21.xml.rels><?xml version="1.0" encoding="UTF-8" standalone="yes"?>
<Relationships xmlns="http://schemas.openxmlformats.org/package/2006/relationships"><Relationship Id="rId1" Type="http://schemas.openxmlformats.org/officeDocument/2006/relationships/image" Target="media/image2.jpeg"/></Relationships>

</file>

<file path=word/_rels/footer22.xml.rels><?xml version="1.0" encoding="UTF-8" standalone="yes"?>
<Relationships xmlns="http://schemas.openxmlformats.org/package/2006/relationships"><Relationship Id="rId1" Type="http://schemas.openxmlformats.org/officeDocument/2006/relationships/image" Target="media/image2.jpeg"/></Relationships>

</file>

<file path=word/_rels/footer23.xml.rels><?xml version="1.0" encoding="UTF-8" standalone="yes"?>
<Relationships xmlns="http://schemas.openxmlformats.org/package/2006/relationships"><Relationship Id="rId1" Type="http://schemas.openxmlformats.org/officeDocument/2006/relationships/image" Target="media/image2.jpeg"/></Relationships>

</file>

<file path=word/_rels/footer24.xml.rels><?xml version="1.0" encoding="UTF-8" standalone="yes"?>
<Relationships xmlns="http://schemas.openxmlformats.org/package/2006/relationships"><Relationship Id="rId1" Type="http://schemas.openxmlformats.org/officeDocument/2006/relationships/image" Target="media/image2.jpeg"/></Relationships>

</file>

<file path=word/_rels/footer25.xml.rels><?xml version="1.0" encoding="UTF-8" standalone="yes"?>
<Relationships xmlns="http://schemas.openxmlformats.org/package/2006/relationships"><Relationship Id="rId1" Type="http://schemas.openxmlformats.org/officeDocument/2006/relationships/image" Target="media/image2.jpeg"/></Relationships>

</file>

<file path=word/_rels/footer26.xml.rels><?xml version="1.0" encoding="UTF-8" standalone="yes"?>
<Relationships xmlns="http://schemas.openxmlformats.org/package/2006/relationships"><Relationship Id="rId1" Type="http://schemas.openxmlformats.org/officeDocument/2006/relationships/image" Target="media/image2.jpeg"/></Relationships>

</file>

<file path=word/_rels/footer27.xml.rels><?xml version="1.0" encoding="UTF-8" standalone="yes"?>
<Relationships xmlns="http://schemas.openxmlformats.org/package/2006/relationships"><Relationship Id="rId1" Type="http://schemas.openxmlformats.org/officeDocument/2006/relationships/image" Target="media/image2.jpeg"/></Relationships>

</file>

<file path=word/_rels/footer28.xml.rels><?xml version="1.0" encoding="UTF-8" standalone="yes"?>
<Relationships xmlns="http://schemas.openxmlformats.org/package/2006/relationships"><Relationship Id="rId1" Type="http://schemas.openxmlformats.org/officeDocument/2006/relationships/image" Target="media/image2.jpeg"/></Relationships>

</file>

<file path=word/_rels/footer29.xml.rels><?xml version="1.0" encoding="UTF-8" standalone="yes"?>
<Relationships xmlns="http://schemas.openxmlformats.org/package/2006/relationships"><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footer30.xml.rels><?xml version="1.0" encoding="UTF-8" standalone="yes"?>
<Relationships xmlns="http://schemas.openxmlformats.org/package/2006/relationships"><Relationship Id="rId1" Type="http://schemas.openxmlformats.org/officeDocument/2006/relationships/image" Target="media/image2.jpeg"/></Relationships>

</file>

<file path=word/_rels/footer31.xml.rels><?xml version="1.0" encoding="UTF-8" standalone="yes"?>
<Relationships xmlns="http://schemas.openxmlformats.org/package/2006/relationships"><Relationship Id="rId1" Type="http://schemas.openxmlformats.org/officeDocument/2006/relationships/image" Target="media/image2.jpeg"/></Relationships>

</file>

<file path=word/_rels/footer4.xml.rels><?xml version="1.0" encoding="UTF-8" standalone="yes"?>
<Relationships xmlns="http://schemas.openxmlformats.org/package/2006/relationships"><Relationship Id="rId1" Type="http://schemas.openxmlformats.org/officeDocument/2006/relationships/image" Target="media/image2.jpeg"/></Relationships>

</file>

<file path=word/_rels/footer5.xml.rels><?xml version="1.0" encoding="UTF-8" standalone="yes"?>
<Relationships xmlns="http://schemas.openxmlformats.org/package/2006/relationships"><Relationship Id="rId1" Type="http://schemas.openxmlformats.org/officeDocument/2006/relationships/image" Target="media/image2.jpeg"/></Relationships>

</file>

<file path=word/_rels/footer6.xml.rels><?xml version="1.0" encoding="UTF-8" standalone="yes"?>
<Relationships xmlns="http://schemas.openxmlformats.org/package/2006/relationships"><Relationship Id="rId1" Type="http://schemas.openxmlformats.org/officeDocument/2006/relationships/image" Target="media/image2.jpeg"/></Relationships>

</file>

<file path=word/_rels/footer7.xml.rels><?xml version="1.0" encoding="UTF-8" standalone="yes"?>
<Relationships xmlns="http://schemas.openxmlformats.org/package/2006/relationships"><Relationship Id="rId1" Type="http://schemas.openxmlformats.org/officeDocument/2006/relationships/image" Target="media/image2.jpeg"/></Relationships>

</file>

<file path=word/_rels/footer8.xml.rels><?xml version="1.0" encoding="UTF-8" standalone="yes"?>
<Relationships xmlns="http://schemas.openxmlformats.org/package/2006/relationships"><Relationship Id="rId1" Type="http://schemas.openxmlformats.org/officeDocument/2006/relationships/image" Target="media/image2.jpeg"/></Relationships>

</file>

<file path=word/_rels/footer9.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s>

</file>

<file path=word/_rels/header14.xml.rels><?xml version="1.0" encoding="UTF-8" standalone="yes"?>
<Relationships xmlns="http://schemas.openxmlformats.org/package/2006/relationships"><Relationship Id="rId1" Type="http://schemas.openxmlformats.org/officeDocument/2006/relationships/image" Target="media/image1.png"/></Relationships>

</file>

<file path=word/_rels/header16.xml.rels><?xml version="1.0" encoding="UTF-8" standalone="yes"?>
<Relationships xmlns="http://schemas.openxmlformats.org/package/2006/relationships"><Relationship Id="rId1" Type="http://schemas.openxmlformats.org/officeDocument/2006/relationships/image" Target="media/image1.png"/></Relationships>

</file>

<file path=word/_rels/header17.xml.rels><?xml version="1.0" encoding="UTF-8" standalone="yes"?>
<Relationships xmlns="http://schemas.openxmlformats.org/package/2006/relationships"><Relationship Id="rId1" Type="http://schemas.openxmlformats.org/officeDocument/2006/relationships/image" Target="media/image1.png"/></Relationships>

</file>

<file path=word/_rels/header18.xml.rels><?xml version="1.0" encoding="UTF-8" standalone="yes"?>
<Relationships xmlns="http://schemas.openxmlformats.org/package/2006/relationships"><Relationship Id="rId1" Type="http://schemas.openxmlformats.org/officeDocument/2006/relationships/image" Target="media/image1.png"/></Relationships>

</file>

<file path=word/_rels/header19.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21.xml.rels><?xml version="1.0" encoding="UTF-8" standalone="yes"?>
<Relationships xmlns="http://schemas.openxmlformats.org/package/2006/relationships"><Relationship Id="rId1" Type="http://schemas.openxmlformats.org/officeDocument/2006/relationships/image" Target="media/image1.png"/></Relationships>

</file>

<file path=word/_rels/header22.xml.rels><?xml version="1.0" encoding="UTF-8" standalone="yes"?>
<Relationships xmlns="http://schemas.openxmlformats.org/package/2006/relationships"><Relationship Id="rId1" Type="http://schemas.openxmlformats.org/officeDocument/2006/relationships/image" Target="media/image1.png"/></Relationships>

</file>

<file path=word/_rels/header23.xml.rels><?xml version="1.0" encoding="UTF-8" standalone="yes"?>
<Relationships xmlns="http://schemas.openxmlformats.org/package/2006/relationships"><Relationship Id="rId1" Type="http://schemas.openxmlformats.org/officeDocument/2006/relationships/image" Target="media/image1.png"/></Relationships>

</file>

<file path=word/_rels/header24.xml.rels><?xml version="1.0" encoding="UTF-8" standalone="yes"?>
<Relationships xmlns="http://schemas.openxmlformats.org/package/2006/relationships"><Relationship Id="rId1" Type="http://schemas.openxmlformats.org/officeDocument/2006/relationships/image" Target="media/image1.png"/></Relationships>

</file>

<file path=word/_rels/header27.xml.rels><?xml version="1.0" encoding="UTF-8" standalone="yes"?>
<Relationships xmlns="http://schemas.openxmlformats.org/package/2006/relationships"><Relationship Id="rId1" Type="http://schemas.openxmlformats.org/officeDocument/2006/relationships/image" Target="media/image1.png"/></Relationships>

</file>

<file path=word/_rels/header28.xml.rels><?xml version="1.0" encoding="UTF-8" standalone="yes"?>
<Relationships xmlns="http://schemas.openxmlformats.org/package/2006/relationships"><Relationship Id="rId1" Type="http://schemas.openxmlformats.org/officeDocument/2006/relationships/image" Target="media/image1.png"/></Relationships>

</file>

<file path=word/_rels/header29.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30.xml.rels><?xml version="1.0" encoding="UTF-8" standalone="yes"?>
<Relationships xmlns="http://schemas.openxmlformats.org/package/2006/relationships"><Relationship Id="rId1" Type="http://schemas.openxmlformats.org/officeDocument/2006/relationships/image" Target="media/image1.png"/></Relationships>

</file>

<file path=word/_rels/header3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2025-11-25T15:37:06Z</dcterms:created>
  <dcterms:modified xsi:type="dcterms:W3CDTF">2025-11-25T15:37:06Z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2025-11-25T00:00:00Z</vt:filetime>
  </property>
  <property fmtid="{D5CDD505-2E9C-101B-9397-08002B2CF9AE}" pid="3" name="LastSaved">
    <vt:filetime>2025-11-25T00:00:00Z</vt:filetime>
  </property>
  <property fmtid="{D5CDD505-2E9C-101B-9397-08002B2CF9AE}" pid="4" name="Producer">
    <vt:lpwstr>3-Heights™ PDF Merge Split Shell 6.12.1.11 (http://www.pdf-tools.com)</vt:lpwstr>
  </property>
</Properties>
</file>